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8C6D08" w:rsidRPr="00723511" w:rsidTr="00B220F9">
        <w:trPr>
          <w:trHeight w:val="1276"/>
        </w:trPr>
        <w:tc>
          <w:tcPr>
            <w:tcW w:w="5636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к приказу управления по делам архивов Калужской области</w:t>
            </w:r>
          </w:p>
          <w:p w:rsidR="008C6D08" w:rsidRPr="00723511" w:rsidRDefault="008C6D08" w:rsidP="00B220F9">
            <w:pPr>
              <w:rPr>
                <w:rFonts w:ascii="Times New Roman" w:hAnsi="Times New Roman" w:cs="Times New Roman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7A009F">
              <w:rPr>
                <w:rFonts w:ascii="Times New Roman" w:hAnsi="Times New Roman" w:cs="Times New Roman"/>
                <w:sz w:val="26"/>
                <w:szCs w:val="26"/>
              </w:rPr>
              <w:t>11»декабря 2020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7A009F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</w:rPr>
      </w:pPr>
    </w:p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23511">
        <w:rPr>
          <w:rFonts w:ascii="Times New Roman" w:hAnsi="Times New Roman" w:cs="Times New Roman"/>
          <w:sz w:val="26"/>
          <w:szCs w:val="26"/>
        </w:rPr>
        <w:t>ПРОГРАММА</w:t>
      </w:r>
    </w:p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3511"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</w:t>
      </w:r>
    </w:p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3511">
        <w:rPr>
          <w:rFonts w:ascii="Times New Roman" w:hAnsi="Times New Roman" w:cs="Times New Roman"/>
          <w:sz w:val="26"/>
          <w:szCs w:val="26"/>
        </w:rPr>
        <w:t>управлением по делам архивов Калужской области</w:t>
      </w:r>
    </w:p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2021 год и плановый период </w:t>
      </w:r>
      <w:r w:rsidRPr="008F6292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2–2023 годы</w:t>
      </w:r>
    </w:p>
    <w:bookmarkEnd w:id="0"/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8C6D08" w:rsidRPr="00AD1730" w:rsidRDefault="008C6D08" w:rsidP="008C6D0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1730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8C6D08" w:rsidRPr="00723511" w:rsidRDefault="008C6D08" w:rsidP="008C6D0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6768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Программа профилактики нарушений обязательных требований управления по 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 архивов Калужской области на 2021 год и плановый период </w:t>
            </w:r>
            <w:r w:rsidRPr="008F629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2–</w:t>
            </w:r>
            <w:r w:rsidRPr="008F6292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годы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768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26 декабря 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Стандарт комплексной профилактики рисков</w:t>
            </w:r>
            <w:proofErr w:type="gramEnd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причинения вреда охраняемым законом ценностям, </w:t>
            </w:r>
            <w:proofErr w:type="gramStart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утвержденный</w:t>
            </w:r>
            <w:proofErr w:type="gramEnd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протоколом заседания проектного комитета приоритетной программы «Реформа контрольной и надзорной деятельности» от 27.03.2018 № 2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6768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правление по делам архивов Калужской области (далее – управление)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Вид государственного контроля </w:t>
            </w:r>
          </w:p>
        </w:tc>
        <w:tc>
          <w:tcPr>
            <w:tcW w:w="6768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об архивном деле в Российской Федерации на территории Калужской области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Цели программы</w:t>
            </w:r>
          </w:p>
        </w:tc>
        <w:tc>
          <w:tcPr>
            <w:tcW w:w="6768" w:type="dxa"/>
          </w:tcPr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 xml:space="preserve">предупреждение нарушений обязательных требований (снижение числа нарушений обязательных требования) в сфере архивного дела; 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увеличение доли законопослушных подконтрольных субъектов;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мотивация к добросовестному правовому поведению подконтрольных субъектов и, как следствие, снижение уровня ущерба охраняемым законом ценностям;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повышение прозрачности системы контрольной деятельности;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23B34">
              <w:rPr>
                <w:rFonts w:ascii="Times New Roman" w:hAnsi="Times New Roman" w:cs="Times New Roman"/>
                <w:sz w:val="26"/>
                <w:szCs w:val="26"/>
              </w:rPr>
              <w:t>разъяснение подконтрольным субъектам обязательных требований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C6D08" w:rsidRPr="00723511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601"/>
              </w:tabs>
              <w:autoSpaceDE w:val="0"/>
              <w:autoSpaceDN w:val="0"/>
              <w:adjustRightInd w:val="0"/>
              <w:ind w:left="0" w:firstLine="176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устранение существующих и потенциальных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условий, причин и факторов, способных привести к нарушению обязательных требований и причинению вреда охраняемых законом ценностям.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6768" w:type="dxa"/>
          </w:tcPr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C">
              <w:rPr>
                <w:rFonts w:ascii="Times New Roman" w:hAnsi="Times New Roman" w:cs="Times New Roman"/>
                <w:sz w:val="26"/>
                <w:szCs w:val="26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C">
              <w:rPr>
                <w:rFonts w:ascii="Times New Roman" w:hAnsi="Times New Roman" w:cs="Times New Roman"/>
                <w:sz w:val="26"/>
                <w:szCs w:val="26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CB6EBC">
              <w:rPr>
                <w:rFonts w:ascii="Times New Roman" w:hAnsi="Times New Roman" w:cs="Times New Roman"/>
                <w:sz w:val="26"/>
                <w:szCs w:val="26"/>
              </w:rPr>
              <w:t>проведение регулярной ревизии обязательных требований и принятие мер к обеспечению реального влияния на уровень их соблюдения;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кадрового состава, принимающего участие в проведении контрольных мероприятий;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системы подконтрольных субъектов, в том числе с использованием современных информационно-телекоммуникационных технологий;</w:t>
            </w:r>
          </w:p>
          <w:p w:rsidR="008C6D08" w:rsidRPr="00723511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0"/>
                <w:tab w:val="left" w:pos="601"/>
              </w:tabs>
              <w:ind w:left="0" w:firstLine="17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768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 и плановый период 2022 и 2023</w:t>
            </w: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 xml:space="preserve"> годы, без разделения на этапы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768" w:type="dxa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sz w:val="26"/>
                <w:szCs w:val="26"/>
              </w:rPr>
              <w:t>Бюджет Калужской области в объемах, предусмотренных управлению по делам архивов законом о бюджете Калужской области на очередной финансовый год и плановый период</w:t>
            </w:r>
          </w:p>
        </w:tc>
      </w:tr>
      <w:tr w:rsidR="008C6D08" w:rsidRPr="00723511" w:rsidTr="00B220F9">
        <w:tc>
          <w:tcPr>
            <w:tcW w:w="2802" w:type="dxa"/>
            <w:vAlign w:val="center"/>
          </w:tcPr>
          <w:p w:rsidR="008C6D08" w:rsidRPr="00723511" w:rsidRDefault="008C6D08" w:rsidP="00B220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3511"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6768" w:type="dxa"/>
          </w:tcPr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снижение рисков причинения вреда охраняемым законом ценностям;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увеличение доли законопослушных подконтрольных субъектов;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развитие системы профилактических мероприятий управления;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внедрение различных способов профилактики;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повышение прозрачности деятельности управления;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уменьшение административной нагрузки на подконтрольные субъекты;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грамотности подконтрольных субъектов;</w:t>
            </w:r>
          </w:p>
          <w:p w:rsidR="008C6D08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обеспечение единообразия понимания предмета контроля подконтрольными субъектами;</w:t>
            </w:r>
          </w:p>
          <w:p w:rsidR="008C6D08" w:rsidRPr="00804249" w:rsidRDefault="008C6D08" w:rsidP="00B220F9">
            <w:pPr>
              <w:pStyle w:val="a6"/>
              <w:numPr>
                <w:ilvl w:val="0"/>
                <w:numId w:val="7"/>
              </w:numPr>
              <w:tabs>
                <w:tab w:val="left" w:pos="476"/>
              </w:tabs>
              <w:ind w:left="34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04249">
              <w:rPr>
                <w:rFonts w:ascii="Times New Roman" w:hAnsi="Times New Roman" w:cs="Times New Roman"/>
                <w:sz w:val="26"/>
                <w:szCs w:val="26"/>
              </w:rPr>
              <w:t>мотивация подконтрольных субъектов к добросовестному поведению</w:t>
            </w:r>
          </w:p>
        </w:tc>
      </w:tr>
    </w:tbl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D0EE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Раздел 1. Анализ и оценка состояния подконтрольной сферы</w:t>
      </w:r>
    </w:p>
    <w:p w:rsidR="008C6D08" w:rsidRPr="001D0EE6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6D08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Контроль за соблюдением законодательства об архивном деле в Российской Федерации на территории Калужской области осуществляется управлением на основании Постановления Правительства Калужской области от 07.05.2019 № 283 «Об утверждении порядка организации и осуществления контроля за соблюдением законодательства в архивном деле в Российской Федерации на территории Калужской области» и приказа управления </w:t>
      </w:r>
      <w:r w:rsidRPr="00717E12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от </w:t>
      </w:r>
      <w:r w:rsidRPr="00717E12">
        <w:rPr>
          <w:rFonts w:ascii="Times New Roman" w:hAnsi="Times New Roman" w:cs="Times New Roman"/>
          <w:sz w:val="26"/>
          <w:szCs w:val="26"/>
        </w:rPr>
        <w:t>22.08.2017 № 37 «Об утверждении Административного регламента управления по делам архивов Калужской</w:t>
      </w:r>
      <w:proofErr w:type="gramEnd"/>
      <w:r w:rsidRPr="00717E12">
        <w:rPr>
          <w:rFonts w:ascii="Times New Roman" w:hAnsi="Times New Roman" w:cs="Times New Roman"/>
          <w:sz w:val="26"/>
          <w:szCs w:val="26"/>
        </w:rPr>
        <w:t xml:space="preserve"> области по осуществлению государственного контроля «</w:t>
      </w:r>
      <w:proofErr w:type="gramStart"/>
      <w:r w:rsidRPr="00717E1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7E12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об архивном деле в Российской Федерации на территории Калужской области» (в ред. от 24.06.2019 № 30, 25.11.2019 № 63).</w:t>
      </w:r>
    </w:p>
    <w:p w:rsidR="008C6D08" w:rsidRPr="00717E12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7E12">
        <w:rPr>
          <w:rFonts w:ascii="Times New Roman" w:hAnsi="Times New Roman" w:cs="Times New Roman"/>
          <w:sz w:val="26"/>
          <w:szCs w:val="26"/>
        </w:rPr>
        <w:t xml:space="preserve">Целью контроля является обеспечение соблюдения </w:t>
      </w:r>
      <w:r>
        <w:rPr>
          <w:rFonts w:ascii="Times New Roman" w:hAnsi="Times New Roman" w:cs="Times New Roman"/>
          <w:sz w:val="26"/>
          <w:szCs w:val="26"/>
        </w:rPr>
        <w:t xml:space="preserve">обязательных </w:t>
      </w:r>
      <w:r w:rsidRPr="00717E12">
        <w:rPr>
          <w:rFonts w:ascii="Times New Roman" w:hAnsi="Times New Roman" w:cs="Times New Roman"/>
          <w:sz w:val="26"/>
          <w:szCs w:val="26"/>
        </w:rPr>
        <w:t>требований законодательства об архивном деле в Российской Федерации на территории Калужской области.</w:t>
      </w:r>
    </w:p>
    <w:p w:rsidR="008C6D08" w:rsidRPr="00717E12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7E12">
        <w:rPr>
          <w:rFonts w:ascii="Times New Roman" w:hAnsi="Times New Roman" w:cs="Times New Roman"/>
          <w:sz w:val="26"/>
          <w:szCs w:val="26"/>
          <w:lang w:eastAsia="ru-RU"/>
        </w:rPr>
        <w:t xml:space="preserve">Субъектами проверок являются </w:t>
      </w:r>
      <w:r w:rsidRPr="00717E12">
        <w:rPr>
          <w:rFonts w:ascii="Times New Roman" w:hAnsi="Times New Roman" w:cs="Times New Roman"/>
          <w:sz w:val="26"/>
          <w:szCs w:val="26"/>
        </w:rPr>
        <w:t>органы государственной власти, органы местного самоуправления, организации и граждане в сфере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6D08" w:rsidRPr="00A5709D" w:rsidRDefault="008C6D08" w:rsidP="008C6D08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5709D">
        <w:rPr>
          <w:rFonts w:ascii="Times New Roman" w:hAnsi="Times New Roman" w:cs="Times New Roman"/>
          <w:sz w:val="26"/>
          <w:szCs w:val="26"/>
          <w:lang w:eastAsia="ru-RU"/>
        </w:rPr>
        <w:t>В план проведения плановых проверок соблюдения законодательства об архивном деле на территории Калужской области – на 2019 год было включено 4 организации, что составляет 2 % от общего количества организаций, подлежащих контролю, на 2020 год было включено 6 организаций</w:t>
      </w:r>
      <w:r>
        <w:rPr>
          <w:rFonts w:ascii="Times New Roman" w:hAnsi="Times New Roman" w:cs="Times New Roman"/>
          <w:sz w:val="26"/>
          <w:szCs w:val="26"/>
          <w:lang w:eastAsia="ru-RU"/>
        </w:rPr>
        <w:t>., что  составляет 2 %</w:t>
      </w:r>
      <w:r w:rsidRPr="00A5709D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 Плана проведения плановых проверок юридических лиц по вопросу соблюдения законодательства в области архивного дела в 2019 году составило 100</w:t>
      </w:r>
      <w:proofErr w:type="gramEnd"/>
      <w:r w:rsidRPr="00A5709D">
        <w:rPr>
          <w:rFonts w:ascii="Times New Roman" w:hAnsi="Times New Roman" w:cs="Times New Roman"/>
          <w:sz w:val="26"/>
          <w:szCs w:val="26"/>
          <w:lang w:eastAsia="ru-RU"/>
        </w:rPr>
        <w:t xml:space="preserve">%. </w:t>
      </w:r>
      <w:proofErr w:type="gramStart"/>
      <w:r w:rsidRPr="00A5709D">
        <w:rPr>
          <w:rFonts w:ascii="Times New Roman" w:eastAsia="Times New Roman" w:hAnsi="Times New Roman"/>
          <w:sz w:val="26"/>
          <w:szCs w:val="26"/>
          <w:lang w:eastAsia="ru-RU"/>
        </w:rPr>
        <w:t>В 2020 году проведены 2 плановые проверки, т.к. все остальные плановые проверки отменены 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A5709D">
        <w:rPr>
          <w:rFonts w:ascii="Times New Roman" w:eastAsia="Times New Roman" w:hAnsi="Times New Roman"/>
          <w:sz w:val="26"/>
          <w:szCs w:val="26"/>
          <w:lang w:eastAsia="ru-RU"/>
        </w:rPr>
        <w:t xml:space="preserve"> индивидуальных предпринимателей» и приказом управления по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делам архивов Калужской области от 16 апреля 2020 г. № 18. </w:t>
      </w:r>
      <w:r w:rsidRPr="00A5709D">
        <w:rPr>
          <w:rFonts w:ascii="Times New Roman" w:eastAsia="Times New Roman" w:hAnsi="Times New Roman"/>
          <w:sz w:val="26"/>
          <w:szCs w:val="26"/>
          <w:lang w:eastAsia="ru-RU"/>
        </w:rPr>
        <w:t>Внеплановые проверки не проводились.</w:t>
      </w:r>
    </w:p>
    <w:p w:rsidR="008C6D08" w:rsidRPr="00A5709D" w:rsidRDefault="008C6D08" w:rsidP="008C6D08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709D">
        <w:rPr>
          <w:rFonts w:ascii="Times New Roman" w:eastAsia="Times New Roman" w:hAnsi="Times New Roman"/>
          <w:sz w:val="26"/>
          <w:szCs w:val="26"/>
          <w:lang w:eastAsia="ru-RU"/>
        </w:rPr>
        <w:t>По итогам проведения проверок за 2019 год составлено 4 предписания, за 2020 год – 2 предписания.</w:t>
      </w:r>
    </w:p>
    <w:p w:rsidR="008C6D08" w:rsidRPr="00A5709D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09D">
        <w:rPr>
          <w:rFonts w:ascii="Times New Roman" w:hAnsi="Times New Roman" w:cs="Times New Roman"/>
          <w:sz w:val="26"/>
          <w:szCs w:val="26"/>
        </w:rPr>
        <w:t>К часто встречающимся нарушениям обязательных требований относится: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отсутствие помещения под архивохранилище;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 xml:space="preserve">помещения не отвечают нормативным требованиям: </w:t>
      </w:r>
    </w:p>
    <w:p w:rsidR="008C6D08" w:rsidRPr="00A5709D" w:rsidRDefault="008C6D08" w:rsidP="008C6D08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отсутствует охранная сигнализация;</w:t>
      </w:r>
    </w:p>
    <w:p w:rsidR="008C6D08" w:rsidRPr="00A5709D" w:rsidRDefault="008C6D08" w:rsidP="008C6D08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не соблюдается температурно-влажностный режим;</w:t>
      </w:r>
    </w:p>
    <w:p w:rsidR="008C6D08" w:rsidRPr="00A5709D" w:rsidRDefault="008C6D08" w:rsidP="008C6D08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не оснащаются металлическими стеллажами;</w:t>
      </w:r>
    </w:p>
    <w:p w:rsidR="008C6D08" w:rsidRPr="00A5709D" w:rsidRDefault="008C6D08" w:rsidP="008C6D08">
      <w:pPr>
        <w:tabs>
          <w:tab w:val="left" w:pos="993"/>
        </w:tabs>
        <w:spacing w:line="240" w:lineRule="auto"/>
        <w:ind w:left="993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располагаются на технических этажах и в подвалах;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несвоевременная передача документов постоянного хранения на государственное хранение;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>не упорядочены документы постоянного хранения, по личному составу, личные дела уволенных работников.</w:t>
      </w:r>
    </w:p>
    <w:p w:rsidR="008C6D08" w:rsidRPr="00A5709D" w:rsidRDefault="008C6D08" w:rsidP="008C6D0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A5709D">
        <w:rPr>
          <w:rFonts w:ascii="Times New Roman" w:hAnsi="Times New Roman" w:cs="Times New Roman"/>
          <w:kern w:val="24"/>
          <w:sz w:val="26"/>
          <w:szCs w:val="26"/>
        </w:rPr>
        <w:t xml:space="preserve">Указанные нарушения нередко приводят к утрате документов организациями в связи с халатным и безответственным отношением руководителей к хранению </w:t>
      </w:r>
      <w:r w:rsidRPr="00A5709D">
        <w:rPr>
          <w:rFonts w:ascii="Times New Roman" w:hAnsi="Times New Roman" w:cs="Times New Roman"/>
          <w:kern w:val="24"/>
          <w:sz w:val="26"/>
          <w:szCs w:val="26"/>
        </w:rPr>
        <w:lastRenderedPageBreak/>
        <w:t>документов, что влечет за собой в дальнейшем нарушение конституционных прав граждан на получение информации, в том числе о своей трудовой деятельности.</w:t>
      </w:r>
    </w:p>
    <w:p w:rsidR="008C6D08" w:rsidRPr="00A5709D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Анализ причин нарушений показал, что основными предпосылками выявленных правонарушений являются: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отсутствие самостоятельного структурного подразделения с функциями ведения делопроизводства и архивного дела;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низкая квалификация лиц, ответственных за делопроизводство и архив организаций;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совмещение лицом, ответственным за архив, нескольких функций (делопроизводство, секретарское дело и архив, юридическая деятельность и архив, кадровая деятельность и архив);</w:t>
      </w:r>
    </w:p>
    <w:p w:rsidR="008C6D08" w:rsidRPr="00A5709D" w:rsidRDefault="008C6D08" w:rsidP="008C6D08">
      <w:pPr>
        <w:pStyle w:val="a6"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формальный подход экспертных комиссий к проведению экспертизы ценности документов и качеству оформления дел с длительными (свыше 10 лет) сроками хранения.</w:t>
      </w:r>
    </w:p>
    <w:p w:rsidR="008C6D08" w:rsidRPr="00A5709D" w:rsidRDefault="008C6D08" w:rsidP="008C6D0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 xml:space="preserve">В отношении субъектов контроля ведется разъяснительная работа, в том числе в ходе проверок, им оказывается методическая, консультативная помощь. </w:t>
      </w:r>
    </w:p>
    <w:p w:rsidR="008C6D08" w:rsidRPr="00A5709D" w:rsidRDefault="008C6D08" w:rsidP="008C6D0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За прошедшие годы сотрудниками управления проводилось обучение ответственных за делопроизводство и архивы с разъяснением новых нормативных правовых актов в области архивного дела и делопроизводства: правила хранения, учета и использования документов Архивного фонда Российской Федерации и других архивных документов в организациях-источниках комплектования государственных и муниципальных архивов.</w:t>
      </w:r>
    </w:p>
    <w:p w:rsidR="008C6D08" w:rsidRPr="00A5709D" w:rsidRDefault="008C6D08" w:rsidP="008C6D0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 xml:space="preserve">В 2019 и  2020 годах было проведено </w:t>
      </w:r>
      <w:proofErr w:type="gramStart"/>
      <w:r w:rsidRPr="00A5709D">
        <w:rPr>
          <w:rFonts w:ascii="Times New Roman" w:hAnsi="Times New Roman" w:cs="Times New Roman"/>
          <w:sz w:val="26"/>
          <w:szCs w:val="26"/>
          <w:lang w:eastAsia="ru-RU"/>
        </w:rPr>
        <w:t xml:space="preserve">по одному публичному обсуждению </w:t>
      </w:r>
      <w:r w:rsidRPr="00A5709D">
        <w:rPr>
          <w:rFonts w:ascii="Times New Roman" w:hAnsi="Times New Roman" w:cs="Times New Roman"/>
          <w:sz w:val="26"/>
          <w:szCs w:val="26"/>
        </w:rPr>
        <w:t>правоприменительной практики по контролю за соблюдением законодательства об архивном деле в Российской Федерации</w:t>
      </w:r>
      <w:proofErr w:type="gramEnd"/>
      <w:r w:rsidRPr="00A5709D">
        <w:rPr>
          <w:rFonts w:ascii="Times New Roman" w:hAnsi="Times New Roman" w:cs="Times New Roman"/>
          <w:sz w:val="26"/>
          <w:szCs w:val="26"/>
        </w:rPr>
        <w:t xml:space="preserve"> на территории Калужской области.</w:t>
      </w:r>
    </w:p>
    <w:p w:rsidR="008C6D08" w:rsidRPr="00A5709D" w:rsidRDefault="008C6D08" w:rsidP="008C6D08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5709D">
        <w:rPr>
          <w:rFonts w:ascii="Times New Roman" w:hAnsi="Times New Roman" w:cs="Times New Roman"/>
          <w:sz w:val="26"/>
          <w:szCs w:val="26"/>
          <w:lang w:eastAsia="ru-RU"/>
        </w:rPr>
        <w:t>Обращений, заявлений граждан, в том числе индивидуальных предпринимателей, юридических лиц. Органов государственной власти, органов местного самоуправления, средств массовой информации о фактах нарушений законодательства об архивном деле в управление по делам архивов Калужской области не поступало.</w:t>
      </w:r>
    </w:p>
    <w:p w:rsidR="008C6D08" w:rsidRPr="001D0EE6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D0EE6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  <w:t>Раздел 2. Цели и задачи профилактической работы</w:t>
      </w:r>
    </w:p>
    <w:p w:rsidR="008C6D08" w:rsidRPr="001D0EE6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C6D08" w:rsidRPr="001D0EE6" w:rsidRDefault="008C6D08" w:rsidP="008C6D0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1D0EE6">
        <w:rPr>
          <w:rFonts w:ascii="Times New Roman" w:hAnsi="Times New Roman" w:cs="Times New Roman"/>
          <w:sz w:val="26"/>
          <w:szCs w:val="26"/>
          <w:lang w:eastAsia="ru-RU"/>
        </w:rPr>
        <w:t>2.1. Цели профилактической работы: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 xml:space="preserve">предупреждение нарушений обязательных требований (снижение числа нарушений обязательных требования) в сфере архивного дела; 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увеличение доли законопослушных подконтрольных субъектов;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мотивация к добросовестному правовому поведению подконтрольных субъектов и, как следствие, снижение уровня ущерба охраняемым законом ценностям;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повышение прозрачности системы контрольной деятельности;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023B34">
        <w:rPr>
          <w:rFonts w:ascii="Times New Roman" w:hAnsi="Times New Roman" w:cs="Times New Roman"/>
          <w:sz w:val="26"/>
          <w:szCs w:val="26"/>
        </w:rPr>
        <w:t>разъяснение подконтрольным субъектам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C6D08" w:rsidRPr="00023B34" w:rsidRDefault="008C6D08" w:rsidP="008C6D08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охраняемых законом ценностям.</w:t>
      </w:r>
    </w:p>
    <w:p w:rsidR="008C6D08" w:rsidRPr="001D0EE6" w:rsidRDefault="008C6D08" w:rsidP="008C6D0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 w:rsidRPr="001D0EE6">
        <w:rPr>
          <w:rFonts w:ascii="Times New Roman" w:hAnsi="Times New Roman" w:cs="Times New Roman"/>
          <w:sz w:val="26"/>
          <w:szCs w:val="26"/>
          <w:lang w:eastAsia="ru-RU"/>
        </w:rPr>
        <w:t>2.2. Проведение профилактических мероприятий позволит решить следующие задачи: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BC">
        <w:rPr>
          <w:rFonts w:ascii="Times New Roman" w:hAnsi="Times New Roman" w:cs="Times New Roman"/>
          <w:sz w:val="26"/>
          <w:szCs w:val="26"/>
        </w:rPr>
        <w:lastRenderedPageBreak/>
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BC">
        <w:rPr>
          <w:rFonts w:ascii="Times New Roman" w:hAnsi="Times New Roman" w:cs="Times New Roman"/>
          <w:sz w:val="26"/>
          <w:szCs w:val="26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EBC">
        <w:rPr>
          <w:rFonts w:ascii="Times New Roman" w:hAnsi="Times New Roman" w:cs="Times New Roman"/>
          <w:sz w:val="26"/>
          <w:szCs w:val="26"/>
        </w:rPr>
        <w:t>проведение регулярной ревизии обязательных требований и принятие мер к обеспечению реального влияния на уровень их соблюдения;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кадрового состава, принимающего участие в проведении контрольных мероприятий;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системы подконтрольных субъектов, в том числе с использованием современных информационно-телекоммуникационных технологий;</w:t>
      </w:r>
    </w:p>
    <w:p w:rsidR="008C6D08" w:rsidRPr="00CB6EBC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8C6D08" w:rsidRPr="0083001B" w:rsidRDefault="008C6D08" w:rsidP="008C6D08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261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3. Программные мероприятия</w:t>
      </w: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C6D08" w:rsidRPr="003D4A66" w:rsidRDefault="008C6D08" w:rsidP="008C6D0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3D4A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Управление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м</w:t>
      </w:r>
      <w:r w:rsidRPr="003D4A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реализуются мероприятия, направленные на профилактику нарушений обязательных требования в сфере архивного дела, в соответствии с планом-графиком профилактических мероприятий на 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</w:t>
      </w:r>
      <w:r w:rsidRPr="003D4A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-202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</w:t>
      </w:r>
      <w:r w:rsidRPr="003D4A6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годы</w:t>
      </w: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План-график проведения профилактических мероприятий </w:t>
      </w: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на 2021-2023 годы</w:t>
      </w: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701"/>
        <w:gridCol w:w="1560"/>
        <w:gridCol w:w="2409"/>
      </w:tblGrid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№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Краткое описание формы профилактического мероприятия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Периодичность проведения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Адресаты мероприятия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Ожидаемые результаты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Ответственные лица за проведения профилактического мероприятия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Актуализация перечня нормативных правовых актов (далее – НПА), содержащих обязательные требования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внесения изменений в НПА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С.М.;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Лычагина И.Н.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Актуализация на официальном сайте управления актуализированного перечня НПА, </w:t>
            </w:r>
            <w:proofErr w:type="gramStart"/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содержащих</w:t>
            </w:r>
            <w:proofErr w:type="gramEnd"/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обязательные требования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внесения изменений в НПА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правовой грамотности подконтрольных субъектов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Актуализация проверочных листов,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применяемых при проведении проверок в сфере архивного дела и их размещение на официальном сайте управления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По мере внесения изменений в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НПА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Своевременное информирова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ние подконтрольных субъектов об изменении обязательных требований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Заместитель начальника управления, начальник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proofErr w:type="gramStart"/>
            <w:r w:rsidRPr="003D4A66">
              <w:rPr>
                <w:rFonts w:ascii="Times New Roman" w:hAnsi="Times New Roman" w:cs="Times New Roman"/>
              </w:rPr>
              <w:t xml:space="preserve">Подготовка и размещение на сайте управления комментариев о содержании новых НПА устанавливающих обязательные требования, внесенных изменений в действующие НПА,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  <w:proofErr w:type="gramEnd"/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внесения изменений в НПА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jc w:val="center"/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Своевременное информирование подконтрольных субъектов об изменении обязательных требований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С.М.;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Лычагина И.Н.; ведущий эксперт отдела финансово-экономической и организационной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Формирование и размещение на официальном сайте управления доклада по правоприменительной практике осуществления регионального контроля в сфере архивного дела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rPr>
                <w:rFonts w:eastAsia="Calibri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информированности подконтрольных субъектов, исключение фактов нарушения обязательных требований законодательства в области архивного дела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С.М.;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Ведущий эксперт отдела финансово-экономической и организационной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Токарев Е.В.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Обобщение практики осуществления регионального контроля в сфере архивного дела </w:t>
            </w:r>
            <w:proofErr w:type="gramStart"/>
            <w:r w:rsidRPr="003D4A66">
              <w:rPr>
                <w:rFonts w:ascii="Times New Roman" w:hAnsi="Times New Roman" w:cs="Times New Roman"/>
              </w:rPr>
              <w:t>с</w:t>
            </w:r>
            <w:proofErr w:type="gramEnd"/>
            <w:r w:rsidRPr="003D4A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информированности подконтрольных субъектов, исключение фактов нарушения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обязательных требований законодательства в области архивного дела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семинаров, конференций по вопросам соблюдения обязательных требований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информированности подконтрольных субъектов, 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Разоренова Г.В.;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Плотникова Н.И.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Проведение консультаций по вопросам соблюдения обязательных требований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 мере необходимости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Повышение уровня правовой грамотности подконтрольных субъектов, исключение фактов нарушения обязательных требований законодательства в области архивного дела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Разоренова Г.В.;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Плотникова Н.И.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Объявление  предостережений о недопустимости нарушения обязательных требований</w:t>
            </w: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Не позднее 30 дней со дня поступления в управление информации о нарушении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Предотвращение нарушений обязательных требований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Разоренова Г.В.;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главный специалист отдела организации архивной работы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Плотникова Н.И.</w:t>
            </w:r>
          </w:p>
        </w:tc>
      </w:tr>
      <w:tr w:rsidR="008C6D08" w:rsidRPr="003D4A66" w:rsidTr="00B220F9">
        <w:tc>
          <w:tcPr>
            <w:tcW w:w="675" w:type="dxa"/>
          </w:tcPr>
          <w:p w:rsidR="008C6D08" w:rsidRPr="003D4A66" w:rsidRDefault="008C6D08" w:rsidP="00B220F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Проведение публичных обсуждений правоприменительной практики по итогам проверок подконтрольных субъектов, по вопросам соблюдения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законодательства об архивном деле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Ежегодно</w:t>
            </w:r>
          </w:p>
        </w:tc>
        <w:tc>
          <w:tcPr>
            <w:tcW w:w="1701" w:type="dxa"/>
          </w:tcPr>
          <w:p w:rsidR="008C6D08" w:rsidRPr="003D4A66" w:rsidRDefault="008C6D08" w:rsidP="00B220F9">
            <w:pPr>
              <w:rPr>
                <w:rFonts w:ascii="Times New Roman" w:hAnsi="Times New Roman" w:cs="Times New Roman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Все категории подконтрольных субъектов</w:t>
            </w:r>
          </w:p>
        </w:tc>
        <w:tc>
          <w:tcPr>
            <w:tcW w:w="1560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Повышение информированности подконтрольных субъектов, исключение фактов нарушения обязательных требований </w:t>
            </w: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законодательства в области архивного дела</w:t>
            </w:r>
          </w:p>
        </w:tc>
        <w:tc>
          <w:tcPr>
            <w:tcW w:w="2409" w:type="dxa"/>
          </w:tcPr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Заместитель начальника управления, начальник отдела организации архивной работы 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D4A66">
              <w:rPr>
                <w:rFonts w:ascii="Times New Roman" w:eastAsia="Calibri" w:hAnsi="Times New Roman" w:cs="Times New Roman"/>
                <w:bCs/>
                <w:lang w:eastAsia="ru-RU"/>
              </w:rPr>
              <w:t>Антонова С.М.</w:t>
            </w:r>
          </w:p>
          <w:p w:rsidR="008C6D08" w:rsidRPr="003D4A66" w:rsidRDefault="008C6D08" w:rsidP="00B220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8C6D08" w:rsidRPr="003D4A66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8C6D08" w:rsidRPr="0083001B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lang w:eastAsia="ru-RU"/>
        </w:rPr>
      </w:pPr>
    </w:p>
    <w:p w:rsidR="008C6D08" w:rsidRPr="00026154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026154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4. Ресурсное обеспечение программы</w:t>
      </w:r>
    </w:p>
    <w:p w:rsidR="008C6D08" w:rsidRDefault="008C6D08" w:rsidP="008C6D08">
      <w:pPr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Реализация Программы осуществляется в пределах штатной численности и в рамках текущего финансирования деятельности управления.</w:t>
      </w:r>
    </w:p>
    <w:p w:rsidR="008C6D08" w:rsidRPr="0083001B" w:rsidRDefault="008C6D08" w:rsidP="008C6D0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  <w:lang w:eastAsia="ru-RU"/>
        </w:rPr>
      </w:pPr>
    </w:p>
    <w:p w:rsidR="008C6D08" w:rsidRPr="00871427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87142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5. Механизм реализации программы</w:t>
      </w:r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5.1 Организация и координирование деятельности по комплексному осуществлению профилактической работы, направленной на предупреждение нарушений обязательных требования, осуществляет заместитель начальника управления – начальник отдела организации архивной работы С.М. Антонова 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(тел 8 (4842) 901-773</w:t>
      </w:r>
      <w:r w:rsidRPr="00E2376E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 Ответственными лицами за осуществление профилактических мероприятий, в том числе за реализацию мероприятий Программы, являются следующие сотрудники управления:</w:t>
      </w:r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Лычагина Ирина Николаевна – ведущий эксперт отдела финансово-экономической и организационной работы, тел 8 (4842) 901-770;</w:t>
      </w:r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Плотникова Наталья Ивановна – главный специалист отдела организации архивной работы, тел. 8 (4842) 901-772;</w:t>
      </w:r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Разоренова Галина Васильевна – главный специалист отдела организации архивной работы, тел. 8 (4842) 901-772;</w:t>
      </w:r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Токарев Евгений Валерьевич – ведущий эксперт отдела финансово-экономической и организационной работы, тел 8 (4842) 901-770.</w:t>
      </w:r>
    </w:p>
    <w:p w:rsidR="008C6D08" w:rsidRDefault="008C6D08" w:rsidP="008C6D0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6D08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AD173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Раздел 6. Оценка эффективности программы</w:t>
      </w:r>
    </w:p>
    <w:p w:rsidR="008C6D08" w:rsidRPr="00AD1730" w:rsidRDefault="008C6D08" w:rsidP="008C6D0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C6D08" w:rsidRPr="00AD1730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730">
        <w:rPr>
          <w:rFonts w:ascii="Times New Roman" w:hAnsi="Times New Roman" w:cs="Times New Roman"/>
          <w:sz w:val="26"/>
          <w:szCs w:val="26"/>
          <w:lang w:eastAsia="ru-RU"/>
        </w:rPr>
        <w:t>Осуществление контроля в сфере архивного дела направлено, прежде всего, на обеспечение сохранности документов Архивного фонда Российской Федерации и других архивных документов независимо от их форм собственности.</w:t>
      </w:r>
    </w:p>
    <w:p w:rsidR="008C6D08" w:rsidRPr="00AD1730" w:rsidRDefault="008C6D08" w:rsidP="008C6D0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1730">
        <w:rPr>
          <w:rFonts w:ascii="Times New Roman" w:hAnsi="Times New Roman" w:cs="Times New Roman"/>
          <w:color w:val="000000"/>
          <w:sz w:val="26"/>
          <w:szCs w:val="26"/>
        </w:rPr>
        <w:t>Основными критериями оценки эффективности и результативности</w:t>
      </w:r>
      <w:r w:rsidRPr="00AD1730">
        <w:rPr>
          <w:rFonts w:ascii="Times New Roman" w:hAnsi="Times New Roman" w:cs="Times New Roman"/>
          <w:color w:val="000000"/>
          <w:sz w:val="26"/>
          <w:szCs w:val="26"/>
        </w:rPr>
        <w:br/>
        <w:t>профилактических мероприятий являются:</w:t>
      </w:r>
    </w:p>
    <w:p w:rsidR="008C6D08" w:rsidRPr="001A7911" w:rsidRDefault="008C6D08" w:rsidP="008C6D08">
      <w:pPr>
        <w:pStyle w:val="a6"/>
        <w:numPr>
          <w:ilvl w:val="0"/>
          <w:numId w:val="7"/>
        </w:numPr>
        <w:tabs>
          <w:tab w:val="left" w:pos="709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результативность деятельности управления;</w:t>
      </w:r>
    </w:p>
    <w:p w:rsidR="008C6D08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понятность обязательных требований подконтрольным субъектам;</w:t>
      </w:r>
    </w:p>
    <w:p w:rsidR="008C6D08" w:rsidRPr="001A7911" w:rsidRDefault="008C6D08" w:rsidP="008C6D08">
      <w:pPr>
        <w:pStyle w:val="a6"/>
        <w:numPr>
          <w:ilvl w:val="0"/>
          <w:numId w:val="7"/>
        </w:numPr>
        <w:tabs>
          <w:tab w:val="left" w:pos="0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7911">
        <w:rPr>
          <w:rFonts w:ascii="Times New Roman" w:hAnsi="Times New Roman" w:cs="Times New Roman"/>
          <w:color w:val="000000"/>
          <w:sz w:val="26"/>
          <w:szCs w:val="26"/>
        </w:rPr>
        <w:t>вовлечение подконтрольных субъектов во взаимодействие с управлением, в том числе в рамках проводимых профилактических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A7911"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</w:p>
    <w:p w:rsidR="008C6D08" w:rsidRPr="00E2376E" w:rsidRDefault="008C6D08" w:rsidP="008C6D0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76E">
        <w:rPr>
          <w:rFonts w:ascii="Times New Roman" w:hAnsi="Times New Roman" w:cs="Times New Roman"/>
          <w:sz w:val="26"/>
          <w:szCs w:val="26"/>
        </w:rPr>
        <w:t>Оценка эффективности и результативности профилактических мероприятий осуществляется в ходе анализа выполнения мероприятий Программы по следующим индикативным показателям:</w:t>
      </w:r>
    </w:p>
    <w:p w:rsidR="008C6D08" w:rsidRPr="00E2376E" w:rsidRDefault="008C6D08" w:rsidP="008C6D08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376E">
        <w:rPr>
          <w:rFonts w:ascii="Times New Roman" w:hAnsi="Times New Roman" w:cs="Times New Roman"/>
          <w:sz w:val="26"/>
          <w:szCs w:val="26"/>
        </w:rPr>
        <w:t>− снижение числа внеплановых проверок по сравнению с предыдущим годом на 1%;</w:t>
      </w:r>
    </w:p>
    <w:p w:rsidR="008C6D08" w:rsidRPr="00E2376E" w:rsidRDefault="008C6D08" w:rsidP="008C6D08">
      <w:pPr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376E">
        <w:rPr>
          <w:rFonts w:ascii="Times New Roman" w:hAnsi="Times New Roman" w:cs="Times New Roman"/>
          <w:sz w:val="26"/>
          <w:szCs w:val="26"/>
        </w:rPr>
        <w:t>− снижение числа выданных предостережений на 1% по сравнению с предыдущим годом.</w:t>
      </w:r>
    </w:p>
    <w:p w:rsidR="0049024A" w:rsidRPr="00AD1730" w:rsidRDefault="0049024A" w:rsidP="001D0EE6">
      <w:pPr>
        <w:shd w:val="clear" w:color="auto" w:fill="FFFFFF"/>
        <w:tabs>
          <w:tab w:val="left" w:pos="709"/>
        </w:tabs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sectPr w:rsidR="0049024A" w:rsidRPr="00AD1730" w:rsidSect="00F82BE2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9E" w:rsidRDefault="00732C9E" w:rsidP="00126307">
      <w:pPr>
        <w:spacing w:line="240" w:lineRule="auto"/>
      </w:pPr>
      <w:r>
        <w:separator/>
      </w:r>
    </w:p>
  </w:endnote>
  <w:endnote w:type="continuationSeparator" w:id="0">
    <w:p w:rsidR="00732C9E" w:rsidRDefault="00732C9E" w:rsidP="00126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9E" w:rsidRDefault="00732C9E" w:rsidP="00126307">
      <w:pPr>
        <w:spacing w:line="240" w:lineRule="auto"/>
      </w:pPr>
      <w:r>
        <w:separator/>
      </w:r>
    </w:p>
  </w:footnote>
  <w:footnote w:type="continuationSeparator" w:id="0">
    <w:p w:rsidR="00732C9E" w:rsidRDefault="00732C9E" w:rsidP="001263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605211"/>
    </w:sdtPr>
    <w:sdtEndPr>
      <w:rPr>
        <w:rFonts w:ascii="Times New Roman" w:hAnsi="Times New Roman" w:cs="Times New Roman"/>
        <w:sz w:val="24"/>
      </w:rPr>
    </w:sdtEndPr>
    <w:sdtContent>
      <w:p w:rsidR="00F65921" w:rsidRPr="00126307" w:rsidRDefault="00F65921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126307">
          <w:rPr>
            <w:rFonts w:ascii="Times New Roman" w:hAnsi="Times New Roman" w:cs="Times New Roman"/>
            <w:sz w:val="24"/>
          </w:rPr>
          <w:fldChar w:fldCharType="begin"/>
        </w:r>
        <w:r w:rsidRPr="00126307">
          <w:rPr>
            <w:rFonts w:ascii="Times New Roman" w:hAnsi="Times New Roman" w:cs="Times New Roman"/>
            <w:sz w:val="24"/>
          </w:rPr>
          <w:instrText>PAGE   \* MERGEFORMAT</w:instrText>
        </w:r>
        <w:r w:rsidRPr="00126307">
          <w:rPr>
            <w:rFonts w:ascii="Times New Roman" w:hAnsi="Times New Roman" w:cs="Times New Roman"/>
            <w:sz w:val="24"/>
          </w:rPr>
          <w:fldChar w:fldCharType="separate"/>
        </w:r>
        <w:r w:rsidR="00E14375">
          <w:rPr>
            <w:rFonts w:ascii="Times New Roman" w:hAnsi="Times New Roman" w:cs="Times New Roman"/>
            <w:noProof/>
            <w:sz w:val="24"/>
          </w:rPr>
          <w:t>2</w:t>
        </w:r>
        <w:r w:rsidRPr="0012630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060"/>
    <w:multiLevelType w:val="hybridMultilevel"/>
    <w:tmpl w:val="C09474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FD4FF0"/>
    <w:multiLevelType w:val="hybridMultilevel"/>
    <w:tmpl w:val="48509DA4"/>
    <w:lvl w:ilvl="0" w:tplc="CB6A20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1160076"/>
    <w:multiLevelType w:val="hybridMultilevel"/>
    <w:tmpl w:val="0420ADF0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51137"/>
    <w:multiLevelType w:val="hybridMultilevel"/>
    <w:tmpl w:val="A50C3C56"/>
    <w:lvl w:ilvl="0" w:tplc="3552F3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D12A61"/>
    <w:multiLevelType w:val="hybridMultilevel"/>
    <w:tmpl w:val="1DEC2918"/>
    <w:lvl w:ilvl="0" w:tplc="F22C0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911A6"/>
    <w:multiLevelType w:val="multilevel"/>
    <w:tmpl w:val="8DD84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3948DB"/>
    <w:multiLevelType w:val="hybridMultilevel"/>
    <w:tmpl w:val="74788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F6108"/>
    <w:multiLevelType w:val="hybridMultilevel"/>
    <w:tmpl w:val="0D362D94"/>
    <w:lvl w:ilvl="0" w:tplc="01C085E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F6"/>
    <w:rsid w:val="00026154"/>
    <w:rsid w:val="000357BD"/>
    <w:rsid w:val="00044139"/>
    <w:rsid w:val="00075C88"/>
    <w:rsid w:val="00080880"/>
    <w:rsid w:val="00095917"/>
    <w:rsid w:val="000C0279"/>
    <w:rsid w:val="000E4B17"/>
    <w:rsid w:val="001070FE"/>
    <w:rsid w:val="001071E5"/>
    <w:rsid w:val="0011233E"/>
    <w:rsid w:val="001200A5"/>
    <w:rsid w:val="00126307"/>
    <w:rsid w:val="001538E5"/>
    <w:rsid w:val="00160C8F"/>
    <w:rsid w:val="0016551C"/>
    <w:rsid w:val="00174E47"/>
    <w:rsid w:val="00180B81"/>
    <w:rsid w:val="001A05CC"/>
    <w:rsid w:val="001D0EE6"/>
    <w:rsid w:val="001D143E"/>
    <w:rsid w:val="001D36E6"/>
    <w:rsid w:val="001D4380"/>
    <w:rsid w:val="001E56FB"/>
    <w:rsid w:val="001F38DB"/>
    <w:rsid w:val="001F74CC"/>
    <w:rsid w:val="00223696"/>
    <w:rsid w:val="00245C07"/>
    <w:rsid w:val="00252BBE"/>
    <w:rsid w:val="00257CF9"/>
    <w:rsid w:val="002610F2"/>
    <w:rsid w:val="00267F20"/>
    <w:rsid w:val="00290BC9"/>
    <w:rsid w:val="002A4EF6"/>
    <w:rsid w:val="002C3CCD"/>
    <w:rsid w:val="00302386"/>
    <w:rsid w:val="00324596"/>
    <w:rsid w:val="00324766"/>
    <w:rsid w:val="0034669A"/>
    <w:rsid w:val="0035375A"/>
    <w:rsid w:val="003708D0"/>
    <w:rsid w:val="003A094C"/>
    <w:rsid w:val="003C47F9"/>
    <w:rsid w:val="003C4A12"/>
    <w:rsid w:val="003C5E55"/>
    <w:rsid w:val="003F769C"/>
    <w:rsid w:val="0040518F"/>
    <w:rsid w:val="00410540"/>
    <w:rsid w:val="004521B7"/>
    <w:rsid w:val="0045305F"/>
    <w:rsid w:val="00471C3F"/>
    <w:rsid w:val="00474F79"/>
    <w:rsid w:val="00486C16"/>
    <w:rsid w:val="0049024A"/>
    <w:rsid w:val="004B719A"/>
    <w:rsid w:val="004C36A2"/>
    <w:rsid w:val="00535326"/>
    <w:rsid w:val="00555444"/>
    <w:rsid w:val="00555A21"/>
    <w:rsid w:val="005A4174"/>
    <w:rsid w:val="00601B89"/>
    <w:rsid w:val="006258E5"/>
    <w:rsid w:val="00646CA6"/>
    <w:rsid w:val="00647F0B"/>
    <w:rsid w:val="006872A0"/>
    <w:rsid w:val="006947A6"/>
    <w:rsid w:val="006A2B44"/>
    <w:rsid w:val="006B56FD"/>
    <w:rsid w:val="006C1743"/>
    <w:rsid w:val="006E5F79"/>
    <w:rsid w:val="006E6CB2"/>
    <w:rsid w:val="006F54C3"/>
    <w:rsid w:val="00702553"/>
    <w:rsid w:val="00717E12"/>
    <w:rsid w:val="00723511"/>
    <w:rsid w:val="00732C9E"/>
    <w:rsid w:val="0073559D"/>
    <w:rsid w:val="00744DA9"/>
    <w:rsid w:val="00745460"/>
    <w:rsid w:val="00794643"/>
    <w:rsid w:val="007A009F"/>
    <w:rsid w:val="007A0E9E"/>
    <w:rsid w:val="007A67B9"/>
    <w:rsid w:val="007B2350"/>
    <w:rsid w:val="007C7B0F"/>
    <w:rsid w:val="007D6533"/>
    <w:rsid w:val="007E3B15"/>
    <w:rsid w:val="007F1D46"/>
    <w:rsid w:val="007F7520"/>
    <w:rsid w:val="00803928"/>
    <w:rsid w:val="0081376C"/>
    <w:rsid w:val="0083001B"/>
    <w:rsid w:val="00844BBD"/>
    <w:rsid w:val="00850927"/>
    <w:rsid w:val="0085389E"/>
    <w:rsid w:val="008671EE"/>
    <w:rsid w:val="00871427"/>
    <w:rsid w:val="008A7498"/>
    <w:rsid w:val="008C5314"/>
    <w:rsid w:val="008C6D08"/>
    <w:rsid w:val="008D7EDA"/>
    <w:rsid w:val="008E1A89"/>
    <w:rsid w:val="008F6292"/>
    <w:rsid w:val="00931ED9"/>
    <w:rsid w:val="00947F31"/>
    <w:rsid w:val="00954AA0"/>
    <w:rsid w:val="00966534"/>
    <w:rsid w:val="00994F76"/>
    <w:rsid w:val="009D1DBC"/>
    <w:rsid w:val="009E2C63"/>
    <w:rsid w:val="009F46A9"/>
    <w:rsid w:val="00A40503"/>
    <w:rsid w:val="00A52633"/>
    <w:rsid w:val="00A63F98"/>
    <w:rsid w:val="00A8336C"/>
    <w:rsid w:val="00A97B45"/>
    <w:rsid w:val="00AD1730"/>
    <w:rsid w:val="00B00DFD"/>
    <w:rsid w:val="00B03E65"/>
    <w:rsid w:val="00B14E24"/>
    <w:rsid w:val="00B219E0"/>
    <w:rsid w:val="00B23BC1"/>
    <w:rsid w:val="00B470E4"/>
    <w:rsid w:val="00B77FC5"/>
    <w:rsid w:val="00B97DDC"/>
    <w:rsid w:val="00BC4E4F"/>
    <w:rsid w:val="00BD55AA"/>
    <w:rsid w:val="00BF33E0"/>
    <w:rsid w:val="00BF46D9"/>
    <w:rsid w:val="00C007C9"/>
    <w:rsid w:val="00C40595"/>
    <w:rsid w:val="00C417D0"/>
    <w:rsid w:val="00C512EF"/>
    <w:rsid w:val="00C5177E"/>
    <w:rsid w:val="00CA2940"/>
    <w:rsid w:val="00CB171D"/>
    <w:rsid w:val="00CB79A0"/>
    <w:rsid w:val="00CD6E55"/>
    <w:rsid w:val="00CE5DA9"/>
    <w:rsid w:val="00D124DB"/>
    <w:rsid w:val="00D26CF2"/>
    <w:rsid w:val="00D47FCB"/>
    <w:rsid w:val="00D76177"/>
    <w:rsid w:val="00D76736"/>
    <w:rsid w:val="00D7712E"/>
    <w:rsid w:val="00D93C78"/>
    <w:rsid w:val="00DA0AEE"/>
    <w:rsid w:val="00DB5BE3"/>
    <w:rsid w:val="00DD3EE3"/>
    <w:rsid w:val="00DF3D94"/>
    <w:rsid w:val="00E0297F"/>
    <w:rsid w:val="00E14375"/>
    <w:rsid w:val="00E144B7"/>
    <w:rsid w:val="00E3171B"/>
    <w:rsid w:val="00E4107E"/>
    <w:rsid w:val="00E44B21"/>
    <w:rsid w:val="00E66E2E"/>
    <w:rsid w:val="00E70D85"/>
    <w:rsid w:val="00EA10BD"/>
    <w:rsid w:val="00EC4AF6"/>
    <w:rsid w:val="00ED2AB7"/>
    <w:rsid w:val="00EE190F"/>
    <w:rsid w:val="00EE1F62"/>
    <w:rsid w:val="00EF48C0"/>
    <w:rsid w:val="00F140F8"/>
    <w:rsid w:val="00F437ED"/>
    <w:rsid w:val="00F625B0"/>
    <w:rsid w:val="00F62750"/>
    <w:rsid w:val="00F65921"/>
    <w:rsid w:val="00F82BE2"/>
    <w:rsid w:val="00F864B4"/>
    <w:rsid w:val="00FB3516"/>
    <w:rsid w:val="00FB6243"/>
    <w:rsid w:val="00FC4051"/>
    <w:rsid w:val="00FD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7CF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7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7CF9"/>
  </w:style>
  <w:style w:type="character" w:customStyle="1" w:styleId="211pt">
    <w:name w:val="Основной текст (2) + 11 pt"/>
    <w:rsid w:val="00954AA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7D6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89"/>
  </w:style>
  <w:style w:type="paragraph" w:styleId="1">
    <w:name w:val="heading 1"/>
    <w:basedOn w:val="a"/>
    <w:next w:val="a"/>
    <w:link w:val="10"/>
    <w:uiPriority w:val="9"/>
    <w:qFormat/>
    <w:rsid w:val="00252B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B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A4E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4E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D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6307"/>
  </w:style>
  <w:style w:type="paragraph" w:styleId="a9">
    <w:name w:val="footer"/>
    <w:basedOn w:val="a"/>
    <w:link w:val="aa"/>
    <w:uiPriority w:val="99"/>
    <w:unhideWhenUsed/>
    <w:rsid w:val="0012630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6307"/>
  </w:style>
  <w:style w:type="character" w:customStyle="1" w:styleId="2">
    <w:name w:val="Основной текст (2)_"/>
    <w:basedOn w:val="a0"/>
    <w:link w:val="20"/>
    <w:rsid w:val="0012630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307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071E5"/>
    <w:rPr>
      <w:color w:val="0000FF" w:themeColor="hyperlink"/>
      <w:u w:val="single"/>
    </w:rPr>
  </w:style>
  <w:style w:type="paragraph" w:customStyle="1" w:styleId="ConsPlusTitle">
    <w:name w:val="ConsPlusTitle"/>
    <w:rsid w:val="0049024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57CF9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257C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57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257CF9"/>
  </w:style>
  <w:style w:type="character" w:customStyle="1" w:styleId="211pt">
    <w:name w:val="Основной текст (2) + 11 pt"/>
    <w:rsid w:val="00954AA0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pple-converted-space">
    <w:name w:val="apple-converted-space"/>
    <w:basedOn w:val="a0"/>
    <w:rsid w:val="007D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5302-D296-4189-A636-3B32D03A0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Управление по делам архивов Калужской области</cp:lastModifiedBy>
  <cp:revision>4</cp:revision>
  <cp:lastPrinted>2020-12-15T12:07:00Z</cp:lastPrinted>
  <dcterms:created xsi:type="dcterms:W3CDTF">2020-12-16T06:07:00Z</dcterms:created>
  <dcterms:modified xsi:type="dcterms:W3CDTF">2020-12-16T06:08:00Z</dcterms:modified>
</cp:coreProperties>
</file>