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07F63" w:rsidTr="00DA0F33">
        <w:tc>
          <w:tcPr>
            <w:tcW w:w="4672" w:type="dxa"/>
          </w:tcPr>
          <w:p w:rsidR="00607F63" w:rsidRDefault="00607F63" w:rsidP="00DA0F3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607F63" w:rsidRPr="007D6A2A" w:rsidRDefault="00607F63" w:rsidP="00F9523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6A2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  <w:p w:rsidR="00607F63" w:rsidRPr="007D6A2A" w:rsidRDefault="00607F63" w:rsidP="00F9523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6A2A">
              <w:rPr>
                <w:rFonts w:ascii="Times New Roman" w:hAnsi="Times New Roman" w:cs="Times New Roman"/>
                <w:sz w:val="24"/>
                <w:szCs w:val="24"/>
              </w:rPr>
              <w:t>к Учетной политике</w:t>
            </w:r>
          </w:p>
          <w:p w:rsidR="00607F63" w:rsidRDefault="00607F63" w:rsidP="00F9523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6A2A">
              <w:rPr>
                <w:rFonts w:ascii="Times New Roman" w:hAnsi="Times New Roman" w:cs="Times New Roman"/>
                <w:sz w:val="24"/>
                <w:szCs w:val="24"/>
              </w:rPr>
              <w:t>для целей бухгалтерского учета</w:t>
            </w:r>
          </w:p>
        </w:tc>
      </w:tr>
    </w:tbl>
    <w:p w:rsidR="00607F63" w:rsidRDefault="00607F63" w:rsidP="00607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F63" w:rsidRDefault="00607F63" w:rsidP="00607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F63" w:rsidRDefault="00607F63" w:rsidP="00607F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A2A">
        <w:rPr>
          <w:rFonts w:ascii="Times New Roman" w:hAnsi="Times New Roman" w:cs="Times New Roman"/>
          <w:b/>
          <w:sz w:val="24"/>
          <w:szCs w:val="24"/>
        </w:rPr>
        <w:t xml:space="preserve">Положение о внутреннем финансовом </w:t>
      </w:r>
      <w:r>
        <w:rPr>
          <w:rFonts w:ascii="Times New Roman" w:hAnsi="Times New Roman" w:cs="Times New Roman"/>
          <w:b/>
          <w:sz w:val="24"/>
          <w:szCs w:val="24"/>
        </w:rPr>
        <w:t>контроле</w:t>
      </w:r>
    </w:p>
    <w:p w:rsidR="00607F63" w:rsidRDefault="00607F63" w:rsidP="00607F63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07F63" w:rsidRPr="0034685A" w:rsidRDefault="00607F63" w:rsidP="00607F63">
      <w:pPr>
        <w:pStyle w:val="a3"/>
        <w:numPr>
          <w:ilvl w:val="0"/>
          <w:numId w:val="2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39406A" w:rsidRPr="00F95231" w:rsidRDefault="00F95231" w:rsidP="00F952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9406A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="00607F63" w:rsidRPr="0039406A">
        <w:rPr>
          <w:rFonts w:ascii="Times New Roman" w:hAnsi="Times New Roman" w:cs="Times New Roman"/>
          <w:sz w:val="24"/>
          <w:szCs w:val="24"/>
        </w:rPr>
        <w:t xml:space="preserve">Настоящее положение о </w:t>
      </w:r>
      <w:r w:rsidR="00607F63" w:rsidRPr="00F95231">
        <w:rPr>
          <w:rFonts w:ascii="Times New Roman" w:hAnsi="Times New Roman" w:cs="Times New Roman"/>
          <w:sz w:val="24"/>
          <w:szCs w:val="24"/>
        </w:rPr>
        <w:t>внутреннем финансовом контроле (далее – Положение) разработано в соответствии с</w:t>
      </w:r>
      <w:r w:rsidR="0039406A" w:rsidRPr="00F95231">
        <w:rPr>
          <w:rFonts w:ascii="Times New Roman" w:hAnsi="Times New Roman" w:cs="Times New Roman"/>
          <w:sz w:val="24"/>
          <w:szCs w:val="24"/>
        </w:rPr>
        <w:t>о</w:t>
      </w:r>
      <w:r w:rsidR="00607F63" w:rsidRPr="00F95231">
        <w:rPr>
          <w:rFonts w:ascii="Times New Roman" w:hAnsi="Times New Roman" w:cs="Times New Roman"/>
          <w:sz w:val="24"/>
          <w:szCs w:val="24"/>
        </w:rPr>
        <w:t xml:space="preserve"> </w:t>
      </w:r>
      <w:r w:rsidR="0039406A" w:rsidRPr="00F95231">
        <w:rPr>
          <w:rFonts w:ascii="Times New Roman" w:hAnsi="Times New Roman" w:cs="Times New Roman"/>
          <w:sz w:val="24"/>
          <w:szCs w:val="24"/>
        </w:rPr>
        <w:t>статьей 160.2-1 Бюджетного кодекса Российской Федерации, постановлением Правительства Калужской области от 02.10.2015</w:t>
      </w:r>
      <w:r w:rsidR="0039406A" w:rsidRPr="00F95231">
        <w:rPr>
          <w:rFonts w:ascii="Times New Roman" w:hAnsi="Times New Roman" w:cs="Times New Roman"/>
          <w:sz w:val="24"/>
          <w:szCs w:val="24"/>
        </w:rPr>
        <w:t xml:space="preserve"> г.</w:t>
      </w:r>
      <w:r w:rsidR="0039406A" w:rsidRPr="00F95231">
        <w:rPr>
          <w:rFonts w:ascii="Times New Roman" w:hAnsi="Times New Roman" w:cs="Times New Roman"/>
          <w:sz w:val="24"/>
          <w:szCs w:val="24"/>
        </w:rPr>
        <w:t xml:space="preserve"> № 561 «Об утверждении Положения о порядке осуществления главными распорядителями средств областного бюджета (бюджета государственного внебюджетного фонда Калужской области), главными администраторами доходов областного бюджета (бюджета государственного внебюджетного фонда Калужской области), главными администраторами источников финансирования дефицита</w:t>
      </w:r>
      <w:proofErr w:type="gramEnd"/>
      <w:r w:rsidR="0039406A" w:rsidRPr="00F95231">
        <w:rPr>
          <w:rFonts w:ascii="Times New Roman" w:hAnsi="Times New Roman" w:cs="Times New Roman"/>
          <w:sz w:val="24"/>
          <w:szCs w:val="24"/>
        </w:rPr>
        <w:t xml:space="preserve"> областного бюджета (бюджета государственного внебюджетного фонда Калужской области) внутреннего финансового контроля и внутреннего финансового аудита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5231" w:rsidRPr="00F95231" w:rsidRDefault="00F95231" w:rsidP="00F95231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F95231">
        <w:rPr>
          <w:rFonts w:ascii="Times New Roman" w:hAnsi="Times New Roman" w:cs="Times New Roman"/>
          <w:sz w:val="24"/>
          <w:szCs w:val="24"/>
        </w:rPr>
        <w:t>внутренними нормативно-правовыми актами управления архитектуры и градостроительства Калужской области</w:t>
      </w:r>
      <w:r w:rsidRPr="00F9523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952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231">
        <w:rPr>
          <w:rFonts w:ascii="Times New Roman" w:hAnsi="Times New Roman" w:cs="Times New Roman"/>
          <w:sz w:val="24"/>
          <w:szCs w:val="24"/>
        </w:rPr>
        <w:t>разработан и утвержден</w:t>
      </w:r>
      <w:proofErr w:type="gramEnd"/>
      <w:r w:rsidRPr="00F95231">
        <w:rPr>
          <w:rFonts w:ascii="Times New Roman" w:hAnsi="Times New Roman" w:cs="Times New Roman"/>
          <w:sz w:val="24"/>
          <w:szCs w:val="24"/>
        </w:rPr>
        <w:t xml:space="preserve"> </w:t>
      </w:r>
      <w:r w:rsidRPr="00F95231">
        <w:rPr>
          <w:rFonts w:ascii="Times New Roman" w:hAnsi="Times New Roman" w:cs="Times New Roman"/>
          <w:sz w:val="24"/>
          <w:szCs w:val="24"/>
        </w:rPr>
        <w:t>Порядок осуществления внутреннего финансового контроля в управлении архитектуры и градостроительства Калужской области (далее – Порядок)</w:t>
      </w:r>
      <w:r w:rsidRPr="00F95231">
        <w:rPr>
          <w:rFonts w:ascii="Times New Roman" w:hAnsi="Times New Roman" w:cs="Times New Roman"/>
          <w:sz w:val="24"/>
          <w:szCs w:val="24"/>
        </w:rPr>
        <w:t>. Порядок</w:t>
      </w:r>
      <w:r w:rsidRPr="00F95231">
        <w:rPr>
          <w:rFonts w:ascii="Times New Roman" w:hAnsi="Times New Roman" w:cs="Times New Roman"/>
          <w:sz w:val="24"/>
          <w:szCs w:val="24"/>
        </w:rPr>
        <w:t xml:space="preserve"> разработан в </w:t>
      </w:r>
      <w:proofErr w:type="gramStart"/>
      <w:r w:rsidRPr="00F95231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F95231">
        <w:rPr>
          <w:rFonts w:ascii="Times New Roman" w:hAnsi="Times New Roman" w:cs="Times New Roman"/>
          <w:sz w:val="24"/>
          <w:szCs w:val="24"/>
        </w:rPr>
        <w:t xml:space="preserve"> повышения эффективности системы управления в управлении архитектуры и градостроительства Калужской области (далее – управление).</w:t>
      </w:r>
    </w:p>
    <w:p w:rsidR="00F95231" w:rsidRPr="00F95231" w:rsidRDefault="00F95231" w:rsidP="00F95231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1.2. </w:t>
      </w:r>
      <w:proofErr w:type="gramStart"/>
      <w:r w:rsidRPr="00F95231">
        <w:rPr>
          <w:rFonts w:ascii="Times New Roman" w:hAnsi="Times New Roman" w:cs="Times New Roman"/>
          <w:sz w:val="24"/>
          <w:szCs w:val="24"/>
        </w:rPr>
        <w:t>Внутренний финансовый контроль осуществляется при выполнении функций и осуществлении полномочий управления в установленной сфере деятельности.</w:t>
      </w:r>
      <w:proofErr w:type="gramEnd"/>
    </w:p>
    <w:p w:rsidR="00F95231" w:rsidRPr="00F95231" w:rsidRDefault="00F95231" w:rsidP="00F95231">
      <w:pPr>
        <w:widowControl w:val="0"/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1.3.</w:t>
      </w:r>
      <w:r w:rsidRPr="00F9523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95231">
        <w:rPr>
          <w:rFonts w:ascii="Times New Roman" w:hAnsi="Times New Roman" w:cs="Times New Roman"/>
          <w:sz w:val="24"/>
          <w:szCs w:val="24"/>
        </w:rPr>
        <w:t>Внутренний финансовый контроль осуществляется непрерывно руководителями структурных подразделений управления, организующими и выполняющими внутренние процедуры составления и исполнения бюджета (далее – внутренние бюджетные процедуры).</w:t>
      </w:r>
    </w:p>
    <w:p w:rsidR="00F95231" w:rsidRPr="00F95231" w:rsidRDefault="00F95231" w:rsidP="00F95231">
      <w:pPr>
        <w:widowControl w:val="0"/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1.4. Внутренний финансовый контроль направлен:</w:t>
      </w:r>
    </w:p>
    <w:p w:rsidR="00F95231" w:rsidRPr="00F95231" w:rsidRDefault="00F95231" w:rsidP="00F9523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231">
        <w:rPr>
          <w:rFonts w:ascii="Times New Roman" w:hAnsi="Times New Roman" w:cs="Times New Roman"/>
          <w:sz w:val="24"/>
          <w:szCs w:val="24"/>
        </w:rPr>
        <w:t>- на 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 том числе правовыми актами управления, внутренних стандартов и процедур составления и исполнения областного бюджета, составления бюджетной отчетности и ведения бюджетного учета, включая порядок ведения учетной политики (далее - внутренние стандарты);</w:t>
      </w:r>
      <w:proofErr w:type="gramEnd"/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lastRenderedPageBreak/>
        <w:t>- на подготовку и организацию мер по повышению экономности и результативности использования бюджетных средств.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1.5. Задачами внутреннего финансового контроля являются: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- управление </w:t>
      </w:r>
      <w:r w:rsidR="00E65682" w:rsidRPr="00F95231">
        <w:rPr>
          <w:rFonts w:ascii="Times New Roman" w:hAnsi="Times New Roman" w:cs="Times New Roman"/>
          <w:sz w:val="24"/>
          <w:szCs w:val="24"/>
        </w:rPr>
        <w:t>бюджетны</w:t>
      </w:r>
      <w:r w:rsidR="00E65682">
        <w:rPr>
          <w:rFonts w:ascii="Times New Roman" w:hAnsi="Times New Roman" w:cs="Times New Roman"/>
          <w:sz w:val="24"/>
          <w:szCs w:val="24"/>
        </w:rPr>
        <w:t>ми</w:t>
      </w:r>
      <w:r w:rsidR="00E65682" w:rsidRPr="00F95231">
        <w:rPr>
          <w:rFonts w:ascii="Times New Roman" w:hAnsi="Times New Roman" w:cs="Times New Roman"/>
          <w:sz w:val="24"/>
          <w:szCs w:val="24"/>
        </w:rPr>
        <w:t xml:space="preserve"> </w:t>
      </w:r>
      <w:r w:rsidRPr="00F95231">
        <w:rPr>
          <w:rFonts w:ascii="Times New Roman" w:hAnsi="Times New Roman" w:cs="Times New Roman"/>
          <w:sz w:val="24"/>
          <w:szCs w:val="24"/>
        </w:rPr>
        <w:t>рисками;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- оперативное выявление, устранение и пресечение нарушений бюджетного законодательства Российской Федерации, и иных нормативных правовых актов, регулирующих бюджетные правоотношения;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- повышение экономности и результативности использования бюджетных средств путем принятия и реализации решений по результатам внутреннего финансового контроля.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1.6. </w:t>
      </w:r>
      <w:proofErr w:type="gramStart"/>
      <w:r w:rsidRPr="00F95231">
        <w:rPr>
          <w:rFonts w:ascii="Times New Roman" w:hAnsi="Times New Roman" w:cs="Times New Roman"/>
          <w:sz w:val="24"/>
          <w:szCs w:val="24"/>
        </w:rPr>
        <w:t>Должностные лица структурных подразделений управления (далее - субъекты внутреннего финансового контроля) осуществляют внутренний финансовый контроль в соответствии с их должностными регламентами (инструкциями) в отношении внутренних бюджетных процедур:</w:t>
      </w:r>
      <w:proofErr w:type="gramEnd"/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1.7. Субъекты внутреннего финансового контроля осуществляют следующие контрольные действия (формы контроля):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а) проверка оформления документов на соответствие требованиям нормативных правовых актов, регулирующих бюджетные правоотношения, и (или) правовых актов управления;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б) авторизация операций, подтверждаю</w:t>
      </w:r>
      <w:r w:rsidR="00E65682">
        <w:rPr>
          <w:rFonts w:ascii="Times New Roman" w:hAnsi="Times New Roman" w:cs="Times New Roman"/>
          <w:sz w:val="24"/>
          <w:szCs w:val="24"/>
        </w:rPr>
        <w:t>щая правомочность их совершения</w:t>
      </w:r>
      <w:r w:rsidRPr="00F95231">
        <w:rPr>
          <w:rFonts w:ascii="Times New Roman" w:hAnsi="Times New Roman" w:cs="Times New Roman"/>
          <w:sz w:val="24"/>
          <w:szCs w:val="24"/>
        </w:rPr>
        <w:t>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в) сверка данных (сравнение данных из разных источников информации);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г) сбор и анализ информации о результатах выполнения внутренних бюджетных процедур;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д) контрольные действия по изучению фактического наличия и состояния объектов имущества (денежных средств, материальных ценностей), в том числе осмотр, замеры, экспертизы, инвентаризации, пересчет;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е) иные контрольные действия.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1.8. При осуществлении внутреннего финансового контроля используются следующие методы внутреннего финансового контроля – самоконтроль, контроль по уровню подчиненности.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Самоконтроль осуществляется сплошным способом должностным лицом каждого подразделения управления путем проведения проверки каждой выполняемой им операции на соответствие требованиям нормативных правовых актов, регулирующих бюджетные правоотношения, правовых актов управления, а также путем оценки причин, негативно влияющих на совершение операции. 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       Контроль по уровню подчиненности осуществляется руководителем (заместителем руководителя) управления или руководителем отдела главного администратора (администратора) и получателя бюджетных средств путем авторизации операций, осуществляемых подчиненными должностными лицами, сплошным способом или путем </w:t>
      </w:r>
      <w:r w:rsidRPr="00F95231">
        <w:rPr>
          <w:rFonts w:ascii="Times New Roman" w:hAnsi="Times New Roman" w:cs="Times New Roman"/>
          <w:sz w:val="24"/>
          <w:szCs w:val="24"/>
        </w:rPr>
        <w:lastRenderedPageBreak/>
        <w:t xml:space="preserve">проведения проверки в отношении отдельных операций (группы операций) выборочным способом. 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8"/>
      <w:bookmarkEnd w:id="0"/>
      <w:r w:rsidRPr="00F95231">
        <w:rPr>
          <w:rFonts w:ascii="Times New Roman" w:hAnsi="Times New Roman" w:cs="Times New Roman"/>
          <w:sz w:val="24"/>
          <w:szCs w:val="24"/>
        </w:rPr>
        <w:t xml:space="preserve">1.9. Контрольные действия подразделяются по видам контроля </w:t>
      </w:r>
      <w:proofErr w:type="gramStart"/>
      <w:r w:rsidRPr="00F9523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95231">
        <w:rPr>
          <w:rFonts w:ascii="Times New Roman" w:hAnsi="Times New Roman" w:cs="Times New Roman"/>
          <w:sz w:val="24"/>
          <w:szCs w:val="24"/>
        </w:rPr>
        <w:t xml:space="preserve"> визуальные, автоматические и смешанные. 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Визуальные контрольные действия осуществляются без использования прикладных программных средств автоматизации путем изучения документов и операций в целях подтверждения законности и (или) эффективности исполнения соответствующих бюджетных процедур. 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Автоматические контрольные действия осуществляются с использованием прикладных программных средств автоматизации без участия должностных лиц (автоматическая проверка реквизитов документов, контроль введенных сумм, автоматическая сверка данных). 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1.10. К способам проведения контрольных действий относятся: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а) 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б) 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5231" w:rsidRPr="00F95231" w:rsidRDefault="00F95231" w:rsidP="00F9523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231">
        <w:rPr>
          <w:rFonts w:ascii="Times New Roman" w:hAnsi="Times New Roman" w:cs="Times New Roman"/>
          <w:b/>
          <w:sz w:val="24"/>
          <w:szCs w:val="24"/>
        </w:rPr>
        <w:t>2. Осуществление  внутреннего финансового контроля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2.1. Организация в структурных </w:t>
      </w:r>
      <w:proofErr w:type="gramStart"/>
      <w:r w:rsidRPr="00F95231">
        <w:rPr>
          <w:rFonts w:ascii="Times New Roman" w:hAnsi="Times New Roman" w:cs="Times New Roman"/>
          <w:sz w:val="24"/>
          <w:szCs w:val="24"/>
        </w:rPr>
        <w:t>подразделениях</w:t>
      </w:r>
      <w:proofErr w:type="gramEnd"/>
      <w:r w:rsidRPr="00F95231">
        <w:rPr>
          <w:rFonts w:ascii="Times New Roman" w:hAnsi="Times New Roman" w:cs="Times New Roman"/>
          <w:sz w:val="24"/>
          <w:szCs w:val="24"/>
        </w:rPr>
        <w:t xml:space="preserve"> управления внутреннего финансового контроля, осуществляемого субъектами внутреннего финансового контроля, включает выполнение следующих мероприятий:</w:t>
      </w:r>
    </w:p>
    <w:p w:rsidR="00F95231" w:rsidRPr="00F95231" w:rsidRDefault="00E65682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5231" w:rsidRPr="00F95231">
        <w:rPr>
          <w:rFonts w:ascii="Times New Roman" w:hAnsi="Times New Roman" w:cs="Times New Roman"/>
          <w:sz w:val="24"/>
          <w:szCs w:val="24"/>
        </w:rPr>
        <w:t>подготовка к проведению внутреннего финансового контроля;</w:t>
      </w:r>
    </w:p>
    <w:p w:rsidR="00F95231" w:rsidRPr="00F95231" w:rsidRDefault="00E65682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5231" w:rsidRPr="00F95231">
        <w:rPr>
          <w:rFonts w:ascii="Times New Roman" w:hAnsi="Times New Roman" w:cs="Times New Roman"/>
          <w:sz w:val="24"/>
          <w:szCs w:val="24"/>
        </w:rPr>
        <w:t>осуществление внутреннего финансового контроля;</w:t>
      </w:r>
    </w:p>
    <w:p w:rsidR="00F95231" w:rsidRPr="00F95231" w:rsidRDefault="00E65682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5231" w:rsidRPr="00F95231">
        <w:rPr>
          <w:rFonts w:ascii="Times New Roman" w:hAnsi="Times New Roman" w:cs="Times New Roman"/>
          <w:sz w:val="24"/>
          <w:szCs w:val="24"/>
        </w:rPr>
        <w:t>оформление результатов внутреннего финансового контроля и организация их хранения;</w:t>
      </w:r>
    </w:p>
    <w:p w:rsidR="00F95231" w:rsidRPr="00F95231" w:rsidRDefault="00E65682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5231" w:rsidRPr="00F95231">
        <w:rPr>
          <w:rFonts w:ascii="Times New Roman" w:hAnsi="Times New Roman" w:cs="Times New Roman"/>
          <w:sz w:val="24"/>
          <w:szCs w:val="24"/>
        </w:rPr>
        <w:t>рассмотрение результатов внутреннего финансового контроля;</w:t>
      </w:r>
    </w:p>
    <w:p w:rsidR="00F95231" w:rsidRPr="00F95231" w:rsidRDefault="00E65682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5231" w:rsidRPr="00F95231">
        <w:rPr>
          <w:rFonts w:ascii="Times New Roman" w:hAnsi="Times New Roman" w:cs="Times New Roman"/>
          <w:sz w:val="24"/>
          <w:szCs w:val="24"/>
        </w:rPr>
        <w:t>составление и предоставление отчетности по результатам внутреннего финансового контроля.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2.2. Подготовка к проведению внутреннего финансового контроля заключается в </w:t>
      </w:r>
      <w:proofErr w:type="gramStart"/>
      <w:r w:rsidRPr="00F95231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95231">
        <w:rPr>
          <w:rFonts w:ascii="Times New Roman" w:hAnsi="Times New Roman" w:cs="Times New Roman"/>
          <w:sz w:val="24"/>
          <w:szCs w:val="24"/>
        </w:rPr>
        <w:t xml:space="preserve"> (актуализации) Карты внутреннего финансового контроля.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Перед формированием (актуализацией) Карты внутреннего финансового контроля проводится: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lastRenderedPageBreak/>
        <w:t xml:space="preserve">а) анализ предмета внутреннего финансового контроля с целью определения методов контроля и контрольных действий (далее – процедур внутреннего финансового контроля); 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б) формирование перечня операций с указанием необходимости или отсутствия необходимости проведения контрольных действий в отношении отдельных операций</w:t>
      </w:r>
      <w:r w:rsidR="00432D8E">
        <w:rPr>
          <w:rFonts w:ascii="Times New Roman" w:hAnsi="Times New Roman" w:cs="Times New Roman"/>
          <w:sz w:val="24"/>
          <w:szCs w:val="24"/>
        </w:rPr>
        <w:t>.</w:t>
      </w:r>
      <w:r w:rsidRPr="00F95231">
        <w:rPr>
          <w:rFonts w:ascii="Times New Roman" w:hAnsi="Times New Roman" w:cs="Times New Roman"/>
          <w:sz w:val="24"/>
          <w:szCs w:val="24"/>
        </w:rPr>
        <w:t xml:space="preserve"> 2.3. Формирование Карт внутреннего финансового контроля на очередной год осуществляется не позднее 30 декабря текущего года. 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Уточнение Карт внутреннего финансового контроля проводится в месячный срок со дня принятия решения (внесения изменений) в следующих </w:t>
      </w:r>
      <w:proofErr w:type="gramStart"/>
      <w:r w:rsidRPr="00F95231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F95231">
        <w:rPr>
          <w:rFonts w:ascii="Times New Roman" w:hAnsi="Times New Roman" w:cs="Times New Roman"/>
          <w:sz w:val="24"/>
          <w:szCs w:val="24"/>
        </w:rPr>
        <w:t>:</w:t>
      </w:r>
    </w:p>
    <w:p w:rsidR="00F95231" w:rsidRPr="00F95231" w:rsidRDefault="00432D8E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5231" w:rsidRPr="00F95231">
        <w:rPr>
          <w:rFonts w:ascii="Times New Roman" w:hAnsi="Times New Roman" w:cs="Times New Roman"/>
          <w:sz w:val="24"/>
          <w:szCs w:val="24"/>
        </w:rPr>
        <w:t>при принятии начальником управления решения о внесении изменений в карты внутреннего финансового контроля;</w:t>
      </w:r>
    </w:p>
    <w:p w:rsidR="00F95231" w:rsidRPr="00F95231" w:rsidRDefault="00432D8E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1" w:name="_GoBack"/>
      <w:bookmarkEnd w:id="1"/>
      <w:r w:rsidR="00F95231" w:rsidRPr="00F95231">
        <w:rPr>
          <w:rFonts w:ascii="Times New Roman" w:hAnsi="Times New Roman" w:cs="Times New Roman"/>
          <w:sz w:val="24"/>
          <w:szCs w:val="24"/>
        </w:rPr>
        <w:t>внесения изменений в нормативные правовые акты, регулирующие бюджетные правоотношения, определяющих необходимость изменения внутренних бюджетных процедур.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2.4. Утверждение Карт внутреннего финансового контроля осуществляется начальником управления.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2.5. Внутренний финансовый контроль осуществляется с соблюдением периодичности, методов контроля и способов контроля, указанных в Картах внутреннего финансового контроля.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2.6. Выявленные недостатки и (или) нарушения при исполнении внутренних бюджетных процедур, сведения о причинах рисков возникновения нарушений и (или) недостатков и о предлагаемых мерах по их устранению (далее - результаты внутреннего финансового контроля) отражаются в Журналах внутреннего финансового контроля.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2.8. В целях обеспечения эффективности внутреннего финансового контроля руководителем каждого структурного подразделения управления, ответственного за результаты выполнения внутренних бюджетных процедур, начальнику управления направляется ежеквартальный и годовой отчет о результатах внутреннего финансового контроля (далее - Отчет). Ежеквартальный отчет предоставляется не позднее 10 числа месяца, следующего за отчетным кварталом. Годовой отчет – не позднее 20 января года, следующего за </w:t>
      </w:r>
      <w:proofErr w:type="gramStart"/>
      <w:r w:rsidRPr="00F95231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F95231">
        <w:rPr>
          <w:rFonts w:ascii="Times New Roman" w:hAnsi="Times New Roman" w:cs="Times New Roman"/>
          <w:sz w:val="24"/>
          <w:szCs w:val="24"/>
        </w:rPr>
        <w:t>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2.9. Сводная информация о результатах внутреннего финансового контроля направляется на рассмотрение начальнику управления не позднее 25 января года, следующего за </w:t>
      </w:r>
      <w:proofErr w:type="gramStart"/>
      <w:r w:rsidRPr="00F95231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F95231">
        <w:rPr>
          <w:rFonts w:ascii="Times New Roman" w:hAnsi="Times New Roman" w:cs="Times New Roman"/>
          <w:sz w:val="24"/>
          <w:szCs w:val="24"/>
        </w:rPr>
        <w:t>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2.10. По итогам рассмотрения результатов внутреннего финансового контроля начальником управления могут быть приняты меры (решения) с указанием сроков их выполнения, направленные: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231">
        <w:rPr>
          <w:rFonts w:ascii="Times New Roman" w:hAnsi="Times New Roman" w:cs="Times New Roman"/>
          <w:sz w:val="24"/>
          <w:szCs w:val="24"/>
        </w:rPr>
        <w:t xml:space="preserve">а) на обеспечение применения эффективных автоматических контрольных действий в отношении отдельных операций и устранение недостатков используемых прикладных </w:t>
      </w:r>
      <w:r w:rsidRPr="00F95231">
        <w:rPr>
          <w:rFonts w:ascii="Times New Roman" w:hAnsi="Times New Roman" w:cs="Times New Roman"/>
          <w:sz w:val="24"/>
          <w:szCs w:val="24"/>
        </w:rPr>
        <w:lastRenderedPageBreak/>
        <w:t>программных средств автоматизации контрольных действий, а также на исключение неэффективных автоматических контрольных действий;</w:t>
      </w:r>
      <w:proofErr w:type="gramEnd"/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231">
        <w:rPr>
          <w:rFonts w:ascii="Times New Roman" w:hAnsi="Times New Roman" w:cs="Times New Roman"/>
          <w:sz w:val="24"/>
          <w:szCs w:val="24"/>
        </w:rPr>
        <w:t>б) на изменение карт внутреннего финансового контроля в целях увеличения способности процедур внутреннего финансового контроля снижать вероятность возникновения событий, негативно влияющих на выполнение внутренних бюджетных процедур;</w:t>
      </w:r>
      <w:proofErr w:type="gramEnd"/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в) на актуализацию системы формуляров, реестров и классификаторов как совокупности структурированных документов, позволяющих отразить унифицированные операции в процессе осуществления бюджетных полномочий;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г) 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д) на изменение внутренних стандартов и процедур;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е) 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ж) на устранение конфликта интересов у должностных лиц, осуществляющих внутренние бюджетные процедуры;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>з) на проведение служебных проверок и применение материальной и (или) дисциплинарной ответственности к виновным должностным лицам;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и) на ведение </w:t>
      </w:r>
      <w:proofErr w:type="gramStart"/>
      <w:r w:rsidRPr="00F95231">
        <w:rPr>
          <w:rFonts w:ascii="Times New Roman" w:hAnsi="Times New Roman" w:cs="Times New Roman"/>
          <w:sz w:val="24"/>
          <w:szCs w:val="24"/>
        </w:rPr>
        <w:t>эффективной</w:t>
      </w:r>
      <w:proofErr w:type="gramEnd"/>
      <w:r w:rsidRPr="00F95231">
        <w:rPr>
          <w:rFonts w:ascii="Times New Roman" w:hAnsi="Times New Roman" w:cs="Times New Roman"/>
          <w:sz w:val="24"/>
          <w:szCs w:val="24"/>
        </w:rPr>
        <w:t xml:space="preserve"> кадровой политики в отношении структурных подразделений управления.</w:t>
      </w:r>
    </w:p>
    <w:p w:rsidR="00F95231" w:rsidRPr="00F95231" w:rsidRDefault="00F95231" w:rsidP="00F952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231">
        <w:rPr>
          <w:rFonts w:ascii="Times New Roman" w:hAnsi="Times New Roman" w:cs="Times New Roman"/>
          <w:sz w:val="24"/>
          <w:szCs w:val="24"/>
        </w:rPr>
        <w:t xml:space="preserve">2.11. При принятии решений по итогам рассмотрения результатов внутреннего финансового контроля учитывается информация, указанная в актах, заключениях, представлениях и предписаниях органов государственного финансового контроля и отчетах внутреннего финансового аудита. </w:t>
      </w:r>
    </w:p>
    <w:sectPr w:rsidR="00F95231" w:rsidRPr="00F95231" w:rsidSect="00F95231">
      <w:pgSz w:w="11906" w:h="16838"/>
      <w:pgMar w:top="964" w:right="851" w:bottom="96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5ED3"/>
    <w:multiLevelType w:val="hybridMultilevel"/>
    <w:tmpl w:val="2AE049F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758B9"/>
    <w:multiLevelType w:val="hybridMultilevel"/>
    <w:tmpl w:val="FAE81F8E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31BAE"/>
    <w:multiLevelType w:val="hybridMultilevel"/>
    <w:tmpl w:val="3388427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91791"/>
    <w:multiLevelType w:val="hybridMultilevel"/>
    <w:tmpl w:val="80AA6338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4259B"/>
    <w:multiLevelType w:val="hybridMultilevel"/>
    <w:tmpl w:val="B9767002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536ED3"/>
    <w:multiLevelType w:val="hybridMultilevel"/>
    <w:tmpl w:val="DA4C5616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A7438"/>
    <w:multiLevelType w:val="hybridMultilevel"/>
    <w:tmpl w:val="90C66974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54734C"/>
    <w:multiLevelType w:val="hybridMultilevel"/>
    <w:tmpl w:val="1256AD9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DE18E9"/>
    <w:multiLevelType w:val="hybridMultilevel"/>
    <w:tmpl w:val="A7C4ABBE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3A0F49"/>
    <w:multiLevelType w:val="hybridMultilevel"/>
    <w:tmpl w:val="4A94609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F15B4"/>
    <w:multiLevelType w:val="hybridMultilevel"/>
    <w:tmpl w:val="BE9016C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AC8"/>
    <w:multiLevelType w:val="hybridMultilevel"/>
    <w:tmpl w:val="E1AE7B46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8A7BC6"/>
    <w:multiLevelType w:val="hybridMultilevel"/>
    <w:tmpl w:val="4A6808FE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27351B"/>
    <w:multiLevelType w:val="multilevel"/>
    <w:tmpl w:val="760C4E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C757134"/>
    <w:multiLevelType w:val="hybridMultilevel"/>
    <w:tmpl w:val="676AC0D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0746FE"/>
    <w:multiLevelType w:val="hybridMultilevel"/>
    <w:tmpl w:val="908EFD2E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B749FA"/>
    <w:multiLevelType w:val="hybridMultilevel"/>
    <w:tmpl w:val="95767C96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E20898"/>
    <w:multiLevelType w:val="hybridMultilevel"/>
    <w:tmpl w:val="BCF225C8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CE4596"/>
    <w:multiLevelType w:val="hybridMultilevel"/>
    <w:tmpl w:val="A9EC6700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10F09"/>
    <w:multiLevelType w:val="hybridMultilevel"/>
    <w:tmpl w:val="DE9E0DB8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92647A"/>
    <w:multiLevelType w:val="hybridMultilevel"/>
    <w:tmpl w:val="E29E42D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E2787B"/>
    <w:multiLevelType w:val="hybridMultilevel"/>
    <w:tmpl w:val="A672D5A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08F"/>
    <w:multiLevelType w:val="multilevel"/>
    <w:tmpl w:val="00D4111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auto"/>
        <w:sz w:val="24"/>
      </w:rPr>
    </w:lvl>
  </w:abstractNum>
  <w:abstractNum w:abstractNumId="23">
    <w:nsid w:val="78E9527A"/>
    <w:multiLevelType w:val="hybridMultilevel"/>
    <w:tmpl w:val="9056A38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A87043"/>
    <w:multiLevelType w:val="hybridMultilevel"/>
    <w:tmpl w:val="1384031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9"/>
  </w:num>
  <w:num w:numId="4">
    <w:abstractNumId w:val="1"/>
  </w:num>
  <w:num w:numId="5">
    <w:abstractNumId w:val="8"/>
  </w:num>
  <w:num w:numId="6">
    <w:abstractNumId w:val="15"/>
  </w:num>
  <w:num w:numId="7">
    <w:abstractNumId w:val="16"/>
  </w:num>
  <w:num w:numId="8">
    <w:abstractNumId w:val="14"/>
  </w:num>
  <w:num w:numId="9">
    <w:abstractNumId w:val="6"/>
  </w:num>
  <w:num w:numId="10">
    <w:abstractNumId w:val="0"/>
  </w:num>
  <w:num w:numId="11">
    <w:abstractNumId w:val="11"/>
  </w:num>
  <w:num w:numId="12">
    <w:abstractNumId w:val="4"/>
  </w:num>
  <w:num w:numId="13">
    <w:abstractNumId w:val="3"/>
  </w:num>
  <w:num w:numId="14">
    <w:abstractNumId w:val="10"/>
  </w:num>
  <w:num w:numId="15">
    <w:abstractNumId w:val="18"/>
  </w:num>
  <w:num w:numId="16">
    <w:abstractNumId w:val="2"/>
  </w:num>
  <w:num w:numId="17">
    <w:abstractNumId w:val="5"/>
  </w:num>
  <w:num w:numId="18">
    <w:abstractNumId w:val="21"/>
  </w:num>
  <w:num w:numId="19">
    <w:abstractNumId w:val="7"/>
  </w:num>
  <w:num w:numId="20">
    <w:abstractNumId w:val="24"/>
  </w:num>
  <w:num w:numId="21">
    <w:abstractNumId w:val="9"/>
  </w:num>
  <w:num w:numId="22">
    <w:abstractNumId w:val="23"/>
  </w:num>
  <w:num w:numId="23">
    <w:abstractNumId w:val="17"/>
  </w:num>
  <w:num w:numId="24">
    <w:abstractNumId w:val="2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F63"/>
    <w:rsid w:val="00084C2B"/>
    <w:rsid w:val="00374EC2"/>
    <w:rsid w:val="0039406A"/>
    <w:rsid w:val="003F3BC4"/>
    <w:rsid w:val="003F6BAD"/>
    <w:rsid w:val="004329C1"/>
    <w:rsid w:val="00432D8E"/>
    <w:rsid w:val="00473153"/>
    <w:rsid w:val="005E14D9"/>
    <w:rsid w:val="00607F63"/>
    <w:rsid w:val="0068246B"/>
    <w:rsid w:val="00685986"/>
    <w:rsid w:val="006A13FB"/>
    <w:rsid w:val="0082453D"/>
    <w:rsid w:val="00A2173A"/>
    <w:rsid w:val="00C92189"/>
    <w:rsid w:val="00D7223D"/>
    <w:rsid w:val="00E65682"/>
    <w:rsid w:val="00E97BA8"/>
    <w:rsid w:val="00F9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F63"/>
    <w:pPr>
      <w:spacing w:after="160" w:line="259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F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7F63"/>
    <w:rPr>
      <w:color w:val="0000FF"/>
      <w:u w:val="single"/>
    </w:rPr>
  </w:style>
  <w:style w:type="paragraph" w:customStyle="1" w:styleId="ConsPlusNormal">
    <w:name w:val="ConsPlusNormal"/>
    <w:rsid w:val="003940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F63"/>
    <w:pPr>
      <w:spacing w:after="160" w:line="259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F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7F63"/>
    <w:rPr>
      <w:color w:val="0000FF"/>
      <w:u w:val="single"/>
    </w:rPr>
  </w:style>
  <w:style w:type="paragraph" w:customStyle="1" w:styleId="ConsPlusNormal">
    <w:name w:val="ConsPlusNormal"/>
    <w:rsid w:val="003940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1596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Dorohina NM.</dc:creator>
  <cp:lastModifiedBy>Воронкова Надежда Анатольевна</cp:lastModifiedBy>
  <cp:revision>7</cp:revision>
  <dcterms:created xsi:type="dcterms:W3CDTF">2019-01-10T05:48:00Z</dcterms:created>
  <dcterms:modified xsi:type="dcterms:W3CDTF">2019-04-18T08:47:00Z</dcterms:modified>
</cp:coreProperties>
</file>