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Times New Roman" w:eastAsia="Calibri" w:hAnsi="Times New Roman" w:cs="Times New Roman"/>
          <w:b/>
          <w:sz w:val="26"/>
          <w:szCs w:val="26"/>
        </w:rPr>
      </w:pPr>
      <w:bookmarkStart w:id="0" w:name="_Toc483837937"/>
      <w:bookmarkStart w:id="1" w:name="_GoBack"/>
      <w:bookmarkEnd w:id="1"/>
    </w:p>
    <w:p>
      <w:pPr>
        <w:spacing w:after="0" w:line="240" w:lineRule="auto"/>
        <w:contextualSpacing/>
        <w:jc w:val="center"/>
        <w:rPr>
          <w:rFonts w:ascii="Times New Roman" w:eastAsia="Calibri" w:hAnsi="Times New Roman" w:cs="Times New Roman"/>
          <w:b/>
          <w:sz w:val="26"/>
          <w:szCs w:val="26"/>
        </w:rPr>
      </w:pPr>
    </w:p>
    <w:p>
      <w:pPr>
        <w:spacing w:after="0" w:line="240" w:lineRule="auto"/>
        <w:contextualSpacing/>
        <w:jc w:val="center"/>
        <w:rPr>
          <w:rFonts w:ascii="Times New Roman" w:eastAsia="Calibri" w:hAnsi="Times New Roman" w:cs="Times New Roman"/>
          <w:b/>
          <w:sz w:val="26"/>
          <w:szCs w:val="26"/>
        </w:rPr>
      </w:pPr>
    </w:p>
    <w:p>
      <w:pPr>
        <w:spacing w:after="0" w:line="240" w:lineRule="auto"/>
        <w:contextualSpacing/>
        <w:jc w:val="center"/>
        <w:rPr>
          <w:rFonts w:ascii="Times New Roman" w:eastAsia="Calibri" w:hAnsi="Times New Roman" w:cs="Times New Roman"/>
          <w:b/>
          <w:sz w:val="26"/>
          <w:szCs w:val="26"/>
        </w:rPr>
      </w:pPr>
    </w:p>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УПОЛНОМОЧЕННЫЙ ПО ПРАВАМ РЕБЕНКА В КАЛУЖСКОЙ ОБЛАСТИ</w:t>
      </w: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both"/>
        <w:rPr>
          <w:rFonts w:ascii="Times New Roman" w:eastAsia="Calibri" w:hAnsi="Times New Roman" w:cs="Times New Roman"/>
          <w:b/>
          <w:sz w:val="26"/>
          <w:szCs w:val="26"/>
        </w:rPr>
      </w:pPr>
    </w:p>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ДОКЛАД</w:t>
      </w:r>
    </w:p>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О ДЕЯТЕЛЬНОСТИ УПОЛНОМОЧЕННОГО ПО ПРАВАМ РЕБЕНКА</w:t>
      </w:r>
    </w:p>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В КАЛУЖСКОЙ ОБЛАСТИ В 2018 ГОДУ</w:t>
      </w: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both"/>
        <w:rPr>
          <w:rFonts w:ascii="Times New Roman" w:hAnsi="Times New Roman" w:cs="Times New Roman"/>
          <w:b/>
          <w:bCs/>
          <w:color w:val="000000"/>
          <w:sz w:val="26"/>
          <w:szCs w:val="26"/>
        </w:rPr>
      </w:pPr>
    </w:p>
    <w:p>
      <w:pPr>
        <w:autoSpaceDE w:val="0"/>
        <w:autoSpaceDN w:val="0"/>
        <w:adjustRightInd w:val="0"/>
        <w:spacing w:after="0"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Калуга</w:t>
      </w:r>
    </w:p>
    <w:p>
      <w:pPr>
        <w:autoSpaceDE w:val="0"/>
        <w:autoSpaceDN w:val="0"/>
        <w:adjustRightInd w:val="0"/>
        <w:spacing w:after="0"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2019</w:t>
      </w:r>
    </w:p>
    <w:p>
      <w:pPr>
        <w:keepNext/>
        <w:keepLines/>
        <w:spacing w:after="0" w:line="36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ОГЛАВЛЕНИЕ</w:t>
      </w:r>
    </w:p>
    <w:p>
      <w:pPr>
        <w:keepNext/>
        <w:keepLines/>
        <w:spacing w:after="0" w:line="360" w:lineRule="auto"/>
        <w:contextualSpacing/>
        <w:jc w:val="center"/>
        <w:outlineLvl w:val="0"/>
        <w:rPr>
          <w:rFonts w:ascii="Times New Roman" w:eastAsiaTheme="majorEastAsia" w:hAnsi="Times New Roman" w:cs="Times New Roman"/>
          <w:b/>
          <w:bCs/>
          <w:sz w:val="26"/>
          <w:szCs w:val="2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7"/>
        <w:gridCol w:w="947"/>
      </w:tblGrid>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Введение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 Статистика обращений граждан к Уполномоченному по правам ребенка в Калужской области в 2018 году</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7</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 О положении дел в области защиты прав и законных интересов ребенка на территории региона.</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19</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2.1. Право на жизнь</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19</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2.2. Право ребенка на семью</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26</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2.3. Право ребенка на отдых и оздоровление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37</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2.4. Право ребенка на образование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52</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2.5. Право ребенка на медицинское обслуживание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68</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2.6. Право ребенка на жилище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81</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2.7. Право ребенка на социальное обеспечение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94</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2.8. Право ребенка в миграционной сфере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105</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2.9. Профилактика преступлений и правонарушений несовершеннолетних</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108</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 Правовое просвещение Уполномоченного по правам ребенка в Калужской области в 2018 г.</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120</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3.1. Взаимодействие со средствами массовой информации</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120</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3.2. Мероприятия правовой направленности</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122</w:t>
            </w:r>
          </w:p>
        </w:tc>
      </w:tr>
      <w:tr>
        <w:tc>
          <w:tcPr>
            <w:tcW w:w="9072"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Заключение</w:t>
            </w:r>
          </w:p>
        </w:tc>
        <w:tc>
          <w:tcPr>
            <w:tcW w:w="958" w:type="dxa"/>
          </w:tcPr>
          <w:p>
            <w:pPr>
              <w:tabs>
                <w:tab w:val="left" w:pos="3885"/>
              </w:tabs>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126</w:t>
            </w:r>
          </w:p>
        </w:tc>
      </w:tr>
      <w:bookmarkEnd w:id="0"/>
    </w:tbl>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ind w:firstLine="709"/>
        <w:contextualSpacing/>
        <w:jc w:val="both"/>
        <w:rPr>
          <w:rFonts w:ascii="Times New Roman" w:eastAsiaTheme="majorEastAsia" w:hAnsi="Times New Roman" w:cs="Times New Roman"/>
          <w:b/>
          <w:bCs/>
          <w:sz w:val="26"/>
          <w:szCs w:val="26"/>
        </w:rPr>
      </w:pPr>
    </w:p>
    <w:p>
      <w:pPr>
        <w:spacing w:after="0" w:line="240" w:lineRule="auto"/>
        <w:contextualSpacing/>
        <w:jc w:val="center"/>
        <w:rPr>
          <w:rFonts w:ascii="Times New Roman" w:hAnsi="Times New Roman" w:cs="Times New Roman"/>
          <w:b/>
          <w:sz w:val="26"/>
          <w:szCs w:val="26"/>
        </w:rPr>
      </w:pPr>
    </w:p>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ВВЕДЕНИЕ</w:t>
      </w:r>
    </w:p>
    <w:p>
      <w:pPr>
        <w:spacing w:after="0" w:line="360" w:lineRule="auto"/>
        <w:ind w:firstLine="709"/>
        <w:contextualSpacing/>
        <w:jc w:val="both"/>
        <w:rPr>
          <w:rFonts w:ascii="Times New Roman" w:hAnsi="Times New Roman" w:cs="Times New Roman"/>
          <w:b/>
          <w:sz w:val="26"/>
          <w:szCs w:val="26"/>
        </w:rPr>
      </w:pP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 Калужской области проживает 186 112 детей, в том числе:</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- 2 818 детей-сирот и детей, оставшихся без попечения родителей, из них 276 детей находятся в стационарных учреждениях, 2 535 на воспитании в семьях, в том числе 1 204 в приемных семьях. Количество семей, которые усыновили (удочерили) детей - 96;</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- 3 273 ребенка-инвалида.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было выявлено 310 детей, оставшихся без родительского попечения, в том числе 57 детей-сирот, 276 детей устроены на семейные формы воспитания, в том числе 20 усыновлены (удочерены).</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 2018 году в Калужской области: </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родилось 10 355 детей; </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умер 91 ребенок.</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 2017 году завершили свое действие Национальная стратегия действий в интересах детей на 2012-2017 годы, утвержденная Указом Президента Российской Федерации от 01.06.2012 № 761, Стратегия действий в интересах детей в Калужской области на 2012-2017 годы, утвержденная постановлением Правительства Калужской области от 10.10.2012 № 517.</w:t>
      </w:r>
    </w:p>
    <w:p>
      <w:pPr>
        <w:pStyle w:val="20"/>
        <w:spacing w:line="360" w:lineRule="auto"/>
        <w:ind w:firstLine="709"/>
        <w:contextualSpacing/>
        <w:rPr>
          <w:rFonts w:cs="Times New Roman"/>
        </w:rPr>
      </w:pPr>
      <w:r>
        <w:rPr>
          <w:rFonts w:cs="Times New Roman"/>
        </w:rPr>
        <w:t>Реализация Национальной стратегии действий в интересах детей на 2012-2017 годы, благодаря совместным усилиям всех заинтересованных структур, позволила добиться положительных результатов, таких как:</w:t>
      </w:r>
    </w:p>
    <w:p>
      <w:pPr>
        <w:pStyle w:val="20"/>
        <w:spacing w:line="360" w:lineRule="auto"/>
        <w:ind w:firstLine="709"/>
        <w:contextualSpacing/>
        <w:rPr>
          <w:rFonts w:cs="Times New Roman"/>
        </w:rPr>
      </w:pPr>
      <w:r>
        <w:rPr>
          <w:rFonts w:cs="Times New Roman"/>
        </w:rPr>
        <w:t>- увеличение численности детского населения с 163 757 до 186 112 человек;</w:t>
      </w:r>
    </w:p>
    <w:p>
      <w:pPr>
        <w:pStyle w:val="20"/>
        <w:spacing w:line="360" w:lineRule="auto"/>
        <w:ind w:firstLine="709"/>
        <w:contextualSpacing/>
        <w:rPr>
          <w:rFonts w:cs="Times New Roman"/>
        </w:rPr>
      </w:pPr>
      <w:r>
        <w:rPr>
          <w:rFonts w:cs="Times New Roman"/>
        </w:rPr>
        <w:t>- снижение младенческой смертности с 75 до 49 человек;</w:t>
      </w:r>
    </w:p>
    <w:p>
      <w:pPr>
        <w:pStyle w:val="20"/>
        <w:spacing w:line="360" w:lineRule="auto"/>
        <w:ind w:firstLine="709"/>
        <w:contextualSpacing/>
        <w:rPr>
          <w:rFonts w:cs="Times New Roman"/>
        </w:rPr>
      </w:pPr>
      <w:r>
        <w:rPr>
          <w:rFonts w:cs="Times New Roman"/>
        </w:rPr>
        <w:t>- сокращение числа отказов от новорожденных с 55 до 20 человек;</w:t>
      </w:r>
    </w:p>
    <w:p>
      <w:pPr>
        <w:pStyle w:val="20"/>
        <w:spacing w:line="360" w:lineRule="auto"/>
        <w:ind w:firstLine="709"/>
        <w:contextualSpacing/>
        <w:rPr>
          <w:rFonts w:cs="Times New Roman"/>
        </w:rPr>
      </w:pPr>
      <w:r>
        <w:rPr>
          <w:rFonts w:cs="Times New Roman"/>
        </w:rPr>
        <w:t>- увеличение количества многодетных семей с 4 890 до 11 163 семей;</w:t>
      </w:r>
    </w:p>
    <w:p>
      <w:pPr>
        <w:pStyle w:val="20"/>
        <w:spacing w:line="360" w:lineRule="auto"/>
        <w:ind w:firstLine="709"/>
        <w:contextualSpacing/>
        <w:rPr>
          <w:rFonts w:cs="Times New Roman"/>
        </w:rPr>
      </w:pPr>
      <w:r>
        <w:rPr>
          <w:rFonts w:cs="Times New Roman"/>
        </w:rPr>
        <w:t>- снижение общего числа детей-сирот и детей, оставшихся без попечения родителей, с 4 837 до 2 818 человек;</w:t>
      </w:r>
    </w:p>
    <w:p>
      <w:pPr>
        <w:pStyle w:val="20"/>
        <w:spacing w:line="360" w:lineRule="auto"/>
        <w:ind w:firstLine="709"/>
        <w:contextualSpacing/>
        <w:rPr>
          <w:rFonts w:cs="Times New Roman"/>
        </w:rPr>
      </w:pPr>
      <w:r>
        <w:rPr>
          <w:rFonts w:cs="Times New Roman"/>
        </w:rPr>
        <w:t>- сокращение количества детей-сирот и детей, оставшихся без попечения родителей, находящихся под надзором в организациях с 699 до 276 человек.</w:t>
      </w:r>
    </w:p>
    <w:p>
      <w:pPr>
        <w:pStyle w:val="20"/>
        <w:spacing w:line="360" w:lineRule="auto"/>
        <w:ind w:firstLine="709"/>
        <w:contextualSpacing/>
      </w:pPr>
      <w:r>
        <w:rPr>
          <w:rFonts w:cs="Times New Roman"/>
        </w:rPr>
        <w:t>Логическим продолжением Национальной стратегии стало объявление в Российской Федерации Десятилетия детства.</w:t>
      </w:r>
    </w:p>
    <w:p>
      <w:pPr>
        <w:spacing w:after="0"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Объявление Десятилетия детства говорит о том, что государство готово к целенаправленной, системной и планомерной политике по отношению к семье, которая </w:t>
      </w:r>
      <w:r>
        <w:rPr>
          <w:rFonts w:ascii="Times New Roman" w:hAnsi="Times New Roman" w:cs="Times New Roman"/>
          <w:color w:val="000000" w:themeColor="text1"/>
          <w:sz w:val="26"/>
          <w:szCs w:val="26"/>
        </w:rPr>
        <w:lastRenderedPageBreak/>
        <w:t>будет направлена на укрепление, развитие, защиту института семьи как фундаментальной основы общества.</w:t>
      </w:r>
    </w:p>
    <w:p>
      <w:pPr>
        <w:pStyle w:val="a3"/>
        <w:spacing w:before="0" w:beforeAutospacing="0" w:after="0" w:afterAutospacing="0" w:line="360" w:lineRule="auto"/>
        <w:ind w:firstLine="708"/>
        <w:contextualSpacing/>
        <w:jc w:val="both"/>
        <w:rPr>
          <w:sz w:val="26"/>
          <w:szCs w:val="26"/>
        </w:rPr>
      </w:pPr>
      <w:r>
        <w:rPr>
          <w:sz w:val="26"/>
          <w:szCs w:val="26"/>
        </w:rPr>
        <w:t>Калужская область подготовила ряд предложений для включения в План основных мероприятий Десятилетия детства. В их числе: создание условий, архитектурной доступности и оснащение оборудованием образовательных организаций для обучения детей-инвалидов и детей с ограниченными возможностями здоровья; обеспечение общедоступности и повышение качества дошкольного образования; создание условий для гармоничного развития личности и реализации ее творческой активности, поддержка талантливых детей и предложения для комплексного решения вопросов, связанных с обеспечением развития ребенка и поддержки материнства и детства.</w:t>
      </w:r>
    </w:p>
    <w:p>
      <w:pPr>
        <w:pStyle w:val="a3"/>
        <w:spacing w:before="0" w:beforeAutospacing="0" w:after="0" w:afterAutospacing="0" w:line="360" w:lineRule="auto"/>
        <w:ind w:firstLine="708"/>
        <w:contextualSpacing/>
        <w:jc w:val="both"/>
        <w:rPr>
          <w:sz w:val="26"/>
          <w:szCs w:val="26"/>
        </w:rPr>
      </w:pPr>
      <w:r>
        <w:rPr>
          <w:sz w:val="26"/>
          <w:szCs w:val="26"/>
        </w:rPr>
        <w:t>Происходящие в регионе положительные изменения продолжаются.</w:t>
      </w: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 первого января 2018 г. изменилось действующее законодательство, регулирующее вопросы социального обеспечения граждан, в частности, один раз в год, с 1 февраля производится индексация ряда социальных пособий.</w:t>
      </w: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Министерством труда и социальной защиты Калужской области разрабатывается региональный проект «Финансовая поддержка семей при рождении детей», который является региональной составляющей национального проекта «Демография».</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целью повышения доступности и качества первичной медико-санитарной помощи детям Калужской области, министерством здравоохранения Калужской области разработана ведомственная целевая программа «Развитие материально-технической базы детских поликлиник и детских поликлинических отделений медицинских организаций Калужской области».</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Начата программа строительства новых современных школ по всей стране. В первый год Десятилетия детства в Калужской области открылись: 1 350 мест в школах и 835 мест в детских садах. Активно развивается дополнительное образование.</w:t>
      </w:r>
    </w:p>
    <w:p>
      <w:pPr>
        <w:pStyle w:val="a3"/>
        <w:spacing w:before="0" w:beforeAutospacing="0" w:after="0" w:afterAutospacing="0" w:line="360" w:lineRule="auto"/>
        <w:ind w:firstLine="708"/>
        <w:contextualSpacing/>
        <w:jc w:val="both"/>
        <w:rPr>
          <w:sz w:val="26"/>
          <w:szCs w:val="26"/>
        </w:rPr>
      </w:pPr>
      <w:r>
        <w:rPr>
          <w:sz w:val="26"/>
          <w:szCs w:val="26"/>
        </w:rPr>
        <w:t>Благодаря совместным усилиям с УФСИН России по Калужской области и министерства образования Калужской области был решен вопрос по организации получения общего образования несовершеннолетними подозреваемыми и обвиняемыми, содержащимися под стражей. Получение образования несовершеннолетними заключёнными осложнялось отсутствием нормативного регулирования этого процесса. Ранее несовершеннолетние, преступившие закон, получали общее образование вне образовательной организации в форме самообразования.</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В настоящее время учебный процесс для подследственных несовершеннолетних, организован с учетом режимных требований и технических возможностей ведомства. </w:t>
      </w:r>
    </w:p>
    <w:p>
      <w:pPr>
        <w:autoSpaceDE w:val="0"/>
        <w:autoSpaceDN w:val="0"/>
        <w:adjustRightInd w:val="0"/>
        <w:spacing w:after="0" w:line="360" w:lineRule="auto"/>
        <w:ind w:firstLine="709"/>
        <w:contextualSpacing/>
        <w:jc w:val="both"/>
        <w:rPr>
          <w:rFonts w:ascii="Times New Roman" w:eastAsia="Times New Roman" w:hAnsi="Times New Roman"/>
          <w:sz w:val="26"/>
          <w:szCs w:val="26"/>
          <w:lang w:eastAsia="ru-RU"/>
        </w:rPr>
      </w:pPr>
      <w:r>
        <w:rPr>
          <w:rFonts w:ascii="Times New Roman" w:hAnsi="Times New Roman" w:cs="Times New Roman"/>
          <w:sz w:val="26"/>
          <w:szCs w:val="26"/>
        </w:rPr>
        <w:t xml:space="preserve">В 2018 году деятельность Уполномоченного по правам ребенка в Калужской области (далее - Уполномоченный) осуществлялась в соответствии с основными задачами, установленными ст. 3 Закона Калужской области от 25.02.2011 № 108-ОЗ «Об Уполномоченном по правам ребенка в Калужской области», а также в рамках </w:t>
      </w:r>
      <w:r>
        <w:rPr>
          <w:rFonts w:ascii="Times New Roman" w:eastAsia="Times New Roman" w:hAnsi="Times New Roman"/>
          <w:sz w:val="26"/>
          <w:szCs w:val="26"/>
          <w:lang w:eastAsia="ru-RU"/>
        </w:rPr>
        <w:t>Указа Президента Российской Федерации от 29.05.2017 № 240 «Об объявлении в Российской Федерации Десятилетия детства»</w:t>
      </w:r>
      <w:r>
        <w:rPr>
          <w:rFonts w:ascii="Times New Roman" w:hAnsi="Times New Roman" w:cs="Times New Roman"/>
          <w:sz w:val="26"/>
          <w:szCs w:val="26"/>
        </w:rPr>
        <w:t>, и с учетом Концепции демографической политики Калужской области на период до 2025 года, утвержденной Постановлением Правительства Калужской области от 27.02.2008 № 69.</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Целью деятельности Уполномоченного является обеспечение государственной защиты прав ребенка, их соблюдение органами государственной власти, органами местного самоуправления и должностными лицами на территории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 средствами массовой информации, решая совместно с ними возникающие проблемы.</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Настоящий доклад, в соответствии с ч. 1 ст. 23 Закона Калужской области от 25.02.2011 № 108-03 «Об Уполномоченном по правам ребенка в Калужской области», представлен Уполномоченным Губернатору Калужской области, в Законодательное Собрание Калужской области и Уполномоченному при Президенте Российской Федерации по правам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Доклад о деятельности Уполномоченного подготовлен на основе: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анализа и обобщения письменных и устных обращений граждан;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результатов мониторингов, проведенных Уполномоченным;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информации органов государственной власти и местного самоуправления, общественных объединений;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Источниками данной информации послужили: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индивидуальные и коллективные обращения граждан;</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встречи и беседы с гражданами в ходе их личного приема Уполномоченным и специалистами его аппарата;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посещения детей в образовательных учреждениях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результаты проверок сообщений о фактах нарушения прав и законных интересов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итоги мониторингов по соблюдению прав и законных интересов ребенка;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сообщения и публикации в средствах массовой информации по вопросам обеспечения защиты прав и законных интересов ребенка.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2018 году, а также приведены статистические показатели, характеризующие положение детей в регионе в 2017 - 2018 годах.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spacing w:line="240" w:lineRule="auto"/>
        <w:contextualSpacing/>
        <w:rPr>
          <w:sz w:val="26"/>
          <w:szCs w:val="26"/>
        </w:rPr>
      </w:pPr>
    </w:p>
    <w:p>
      <w:pPr>
        <w:pStyle w:val="Style19"/>
        <w:widowControl/>
        <w:spacing w:line="360" w:lineRule="auto"/>
        <w:contextualSpacing/>
        <w:rPr>
          <w:rStyle w:val="FontStyle62"/>
          <w:sz w:val="26"/>
          <w:szCs w:val="26"/>
        </w:rPr>
      </w:pPr>
      <w:bookmarkStart w:id="2" w:name="_Toc420841240"/>
      <w:r>
        <w:rPr>
          <w:rStyle w:val="FontStyle62"/>
          <w:sz w:val="26"/>
          <w:szCs w:val="26"/>
        </w:rPr>
        <w:lastRenderedPageBreak/>
        <w:t>1. СТАТИСТИКА ОБРАЩЕНИЙ ГРАЖДАН К УПОЛНОМОЧЕННОМУ ПО ПРАВАМ РЕБЕНКА В КАЛУЖСКОЙ ОБЛАСТИ В 2018 ГОДУ</w:t>
      </w:r>
    </w:p>
    <w:p>
      <w:pPr>
        <w:pStyle w:val="Style9"/>
        <w:widowControl/>
        <w:spacing w:line="360" w:lineRule="auto"/>
        <w:contextualSpacing/>
        <w:rPr>
          <w:sz w:val="26"/>
          <w:szCs w:val="26"/>
        </w:rPr>
      </w:pPr>
    </w:p>
    <w:p>
      <w:pPr>
        <w:pStyle w:val="Style9"/>
        <w:widowControl/>
        <w:spacing w:line="360" w:lineRule="auto"/>
        <w:contextualSpacing/>
        <w:rPr>
          <w:sz w:val="26"/>
          <w:szCs w:val="26"/>
        </w:rPr>
      </w:pPr>
      <w:r>
        <w:rPr>
          <w:sz w:val="26"/>
          <w:szCs w:val="26"/>
        </w:rPr>
        <w:t>Уполномоченный защищает права и законные интересы детей, определенные Конвенцией ООН о правах ребенка, Всеобщей декларацией прав человека, Европейской конвенцией о защите прав человека и основных свобод, Конституцией Российской Федерации, Семейным кодексом Российской Федерации, Федеральным законом «Об основных гарантиях прав ребенка в Российской Федерации», Федеральным законом «О дополнительных гарантиях по социальной поддержке детей-сирот и детей, оставшихся без попечения родителей», другими федеральными законами, законами Калужской области и нормативными правовыми актами органов местного самоуправления. Деятельность Уполномоченного строится на основе принципов независимости, гласности, справедливости, инициативности, ответственности, гуманности, открытости, объективности и доступности.</w:t>
      </w:r>
    </w:p>
    <w:p>
      <w:pPr>
        <w:pStyle w:val="Style9"/>
        <w:widowControl/>
        <w:spacing w:line="360" w:lineRule="auto"/>
        <w:contextualSpacing/>
        <w:rPr>
          <w:sz w:val="26"/>
          <w:szCs w:val="26"/>
        </w:rPr>
      </w:pPr>
      <w:r>
        <w:rPr>
          <w:sz w:val="26"/>
          <w:szCs w:val="26"/>
        </w:rPr>
        <w:t>В соответствии с положениями Закона Калужской области от 25.02.2011               № 108-ОЗ «Об Уполномоченном по правам ребенка в Калужской области» Уполномоченный рассматривает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 законодательством, ведет личный прием граждан, оказывает им бесплатную помощь по вопросам, относящимся к его полномочиям.</w:t>
      </w:r>
    </w:p>
    <w:p>
      <w:pPr>
        <w:pStyle w:val="Style9"/>
        <w:widowControl/>
        <w:spacing w:line="360" w:lineRule="auto"/>
        <w:contextualSpacing/>
        <w:rPr>
          <w:sz w:val="26"/>
          <w:szCs w:val="26"/>
        </w:rPr>
      </w:pPr>
      <w:r>
        <w:rPr>
          <w:sz w:val="26"/>
          <w:szCs w:val="26"/>
        </w:rPr>
        <w:t xml:space="preserve">В 2018 году в адрес Уполномоченного поступило 2 830 обращений, из них 670 письменных и 2 160 устных (Диаграммы 1, 2, 3). В сравнении с 2017 годом произошел незначительный рост количества обращений – на 1,8 %, в том числе на 6 % письменных обращений и на 0,6 % устных обращений. </w:t>
      </w:r>
    </w:p>
    <w:p>
      <w:pPr>
        <w:pStyle w:val="Style9"/>
        <w:widowControl/>
        <w:spacing w:line="360" w:lineRule="auto"/>
        <w:contextualSpacing/>
        <w:rPr>
          <w:sz w:val="26"/>
          <w:szCs w:val="26"/>
        </w:rPr>
      </w:pPr>
      <w:r>
        <w:rPr>
          <w:rStyle w:val="FontStyle61"/>
          <w:sz w:val="26"/>
          <w:szCs w:val="26"/>
        </w:rPr>
        <w:t>В истекшем периоде наибольшее количество обращений поступило по вопросам семейных прав и обязанностей родителей – 26,6%.</w:t>
      </w:r>
    </w:p>
    <w:p>
      <w:pPr>
        <w:pStyle w:val="Style8"/>
        <w:widowControl/>
        <w:spacing w:line="360" w:lineRule="auto"/>
        <w:ind w:firstLine="709"/>
        <w:contextualSpacing/>
        <w:jc w:val="both"/>
        <w:rPr>
          <w:rStyle w:val="FontStyle62"/>
          <w:sz w:val="26"/>
          <w:szCs w:val="26"/>
        </w:rPr>
      </w:pPr>
      <w:r>
        <w:rPr>
          <w:rStyle w:val="FontStyle61"/>
          <w:sz w:val="26"/>
          <w:szCs w:val="26"/>
        </w:rPr>
        <w:t>Значение показателя в натуральном выражении, к сожалению, показывает рост числа обращений. Как правило, такие обращения поступают от одного из родителей (иных законных представителей) ребенка.</w:t>
      </w:r>
    </w:p>
    <w:p>
      <w:pPr>
        <w:pStyle w:val="Style8"/>
        <w:keepNext/>
        <w:widowControl/>
        <w:spacing w:line="360" w:lineRule="auto"/>
        <w:contextualSpacing/>
        <w:rPr>
          <w:rStyle w:val="FontStyle62"/>
          <w:sz w:val="26"/>
          <w:szCs w:val="26"/>
        </w:rPr>
      </w:pPr>
      <w:r>
        <w:rPr>
          <w:rStyle w:val="FontStyle62"/>
          <w:sz w:val="26"/>
          <w:szCs w:val="26"/>
        </w:rPr>
        <w:lastRenderedPageBreak/>
        <w:t>Общее количество обращений в адрес Уполномоченного</w:t>
      </w:r>
    </w:p>
    <w:p>
      <w:pPr>
        <w:pStyle w:val="Style8"/>
        <w:keepNext/>
        <w:widowControl/>
        <w:spacing w:line="360" w:lineRule="auto"/>
        <w:contextualSpacing/>
        <w:rPr>
          <w:rStyle w:val="FontStyle62"/>
          <w:sz w:val="26"/>
          <w:szCs w:val="26"/>
        </w:rPr>
      </w:pPr>
    </w:p>
    <w:p>
      <w:pPr>
        <w:pStyle w:val="Style9"/>
        <w:widowControl/>
        <w:spacing w:line="360" w:lineRule="auto"/>
        <w:ind w:firstLine="0"/>
        <w:contextualSpacing/>
        <w:rPr>
          <w:rStyle w:val="FontStyle61"/>
          <w:sz w:val="26"/>
          <w:szCs w:val="26"/>
        </w:rPr>
      </w:pPr>
      <w:r>
        <w:rPr>
          <w:noProof/>
          <w:sz w:val="26"/>
          <w:szCs w:val="26"/>
        </w:rPr>
        <w:drawing>
          <wp:inline distT="0" distB="0" distL="0" distR="0">
            <wp:extent cx="6328410" cy="8358907"/>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8196" cy="8358624"/>
                    </a:xfrm>
                    <a:prstGeom prst="rect">
                      <a:avLst/>
                    </a:prstGeom>
                    <a:noFill/>
                  </pic:spPr>
                </pic:pic>
              </a:graphicData>
            </a:graphic>
          </wp:inline>
        </w:drawing>
      </w:r>
    </w:p>
    <w:p>
      <w:pPr>
        <w:pStyle w:val="Style8"/>
        <w:keepNext/>
        <w:widowControl/>
        <w:spacing w:line="360" w:lineRule="auto"/>
        <w:ind w:left="3216"/>
        <w:contextualSpacing/>
        <w:jc w:val="right"/>
        <w:rPr>
          <w:rStyle w:val="FontStyle62"/>
          <w:b w:val="0"/>
          <w:i/>
          <w:sz w:val="26"/>
          <w:szCs w:val="26"/>
        </w:rPr>
      </w:pPr>
      <w:r>
        <w:rPr>
          <w:rStyle w:val="FontStyle62"/>
          <w:i/>
          <w:sz w:val="26"/>
          <w:szCs w:val="26"/>
        </w:rPr>
        <w:t>Диаграмма № 1</w:t>
      </w:r>
    </w:p>
    <w:p>
      <w:pPr>
        <w:pStyle w:val="Style9"/>
        <w:widowControl/>
        <w:spacing w:line="360" w:lineRule="auto"/>
        <w:ind w:firstLine="0"/>
        <w:contextualSpacing/>
        <w:rPr>
          <w:rStyle w:val="FontStyle61"/>
          <w:sz w:val="26"/>
          <w:szCs w:val="26"/>
        </w:rPr>
      </w:pPr>
    </w:p>
    <w:p>
      <w:pPr>
        <w:pStyle w:val="Style9"/>
        <w:widowControl/>
        <w:spacing w:line="360" w:lineRule="auto"/>
        <w:contextualSpacing/>
        <w:rPr>
          <w:rStyle w:val="FontStyle61"/>
          <w:sz w:val="26"/>
          <w:szCs w:val="26"/>
        </w:rPr>
      </w:pPr>
      <w:r>
        <w:rPr>
          <w:rStyle w:val="FontStyle61"/>
          <w:sz w:val="26"/>
          <w:szCs w:val="26"/>
        </w:rPr>
        <w:lastRenderedPageBreak/>
        <w:t>В данной категории обращений, как и прежде, превалируют вопросы определения порядка общения (совместного проживания) ребенка с одним из родителей, в случае их раздельного проживания; неисполнение (ненадлежащее исполнение) алиментных обязательств родителями (одним из родителей); ненадлежащего исполнения родительских обязанностей; вопросы в сфере опеки и попечительства над несовершеннолетними.</w:t>
      </w:r>
    </w:p>
    <w:p>
      <w:pPr>
        <w:pStyle w:val="Style9"/>
        <w:widowControl/>
        <w:spacing w:line="360" w:lineRule="auto"/>
        <w:contextualSpacing/>
        <w:rPr>
          <w:rStyle w:val="FontStyle61"/>
          <w:sz w:val="26"/>
          <w:szCs w:val="26"/>
        </w:rPr>
      </w:pPr>
      <w:r>
        <w:rPr>
          <w:rStyle w:val="FontStyle61"/>
          <w:sz w:val="26"/>
          <w:szCs w:val="26"/>
        </w:rPr>
        <w:t xml:space="preserve">В 2018 году количество обращений по вопросам улучшения жилищных условий составило 15,3% от общего количества обращений. В поступивших обращениях данной категории рассматривались вопросы улучшения жилищных условий детей-сирот и детей, оставшихся без попечения родителей, улучшения жилищных условий инвалидов, улучшения жилищных условий многодетных семей, улучшения жилищных условий иных категорий граждан, ЖКХ, вселения и выселения, порядка пользования жильем, ремонта муниципального жилья. Сократилось количество обращений поступивших в защиту жилищных прав детей-сирот и детей, оставшихся без попечения родителей, а также лиц из их числа. </w:t>
      </w:r>
    </w:p>
    <w:p>
      <w:pPr>
        <w:pStyle w:val="Style9"/>
        <w:widowControl/>
        <w:spacing w:line="360" w:lineRule="auto"/>
        <w:ind w:firstLine="706"/>
        <w:contextualSpacing/>
        <w:rPr>
          <w:rStyle w:val="FontStyle61"/>
          <w:sz w:val="26"/>
          <w:szCs w:val="26"/>
        </w:rPr>
      </w:pPr>
      <w:r>
        <w:rPr>
          <w:rStyle w:val="FontStyle61"/>
          <w:sz w:val="26"/>
          <w:szCs w:val="26"/>
        </w:rPr>
        <w:t>Показатель количества обращений по вопросам нарушения прав несовершеннолетних в образовательном процессе составил – 13,1%. В этой сфере проблемными остаются вопросы те же, что и ранее: межличностные конфликты, устройство в дошкольные и общеобразовательные учреждения, жалобы на качество образования.</w:t>
      </w:r>
    </w:p>
    <w:p>
      <w:pPr>
        <w:pStyle w:val="Style9"/>
        <w:widowControl/>
        <w:spacing w:line="360" w:lineRule="auto"/>
        <w:ind w:firstLine="706"/>
        <w:contextualSpacing/>
        <w:rPr>
          <w:rStyle w:val="FontStyle61"/>
          <w:sz w:val="26"/>
          <w:szCs w:val="26"/>
        </w:rPr>
      </w:pPr>
      <w:r>
        <w:rPr>
          <w:rStyle w:val="FontStyle61"/>
          <w:sz w:val="26"/>
          <w:szCs w:val="26"/>
        </w:rPr>
        <w:t>Еще одним крупным блоком вопросов в отчетном периоде стали вопросы социальных гарантий, пособий и материальной помощи – 8,8 %. В данном блоке вопросов лидирующие позиции занимают вопросы назначения и получения детских пособий, получения и использования по направлениям (в основном на улучшение жилищных условий) средств материнского капитала, получения льгот и пособий многодетными семьями.</w:t>
      </w:r>
    </w:p>
    <w:p>
      <w:pPr>
        <w:pStyle w:val="Style9"/>
        <w:widowControl/>
        <w:spacing w:line="360" w:lineRule="auto"/>
        <w:contextualSpacing/>
        <w:rPr>
          <w:rStyle w:val="FontStyle61"/>
          <w:sz w:val="26"/>
          <w:szCs w:val="26"/>
        </w:rPr>
      </w:pPr>
    </w:p>
    <w:p>
      <w:pPr>
        <w:pStyle w:val="Style8"/>
        <w:keepNext/>
        <w:widowControl/>
        <w:spacing w:line="360" w:lineRule="auto"/>
        <w:contextualSpacing/>
        <w:rPr>
          <w:rStyle w:val="FontStyle62"/>
          <w:sz w:val="26"/>
          <w:szCs w:val="26"/>
        </w:rPr>
      </w:pPr>
      <w:r>
        <w:rPr>
          <w:rStyle w:val="FontStyle62"/>
          <w:sz w:val="26"/>
          <w:szCs w:val="26"/>
        </w:rPr>
        <w:lastRenderedPageBreak/>
        <w:t>Категории письменных обращений</w:t>
      </w:r>
    </w:p>
    <w:p>
      <w:pPr>
        <w:pStyle w:val="Style8"/>
        <w:keepNext/>
        <w:widowControl/>
        <w:spacing w:line="360" w:lineRule="auto"/>
        <w:contextualSpacing/>
        <w:rPr>
          <w:rStyle w:val="FontStyle62"/>
          <w:sz w:val="26"/>
          <w:szCs w:val="26"/>
        </w:rPr>
      </w:pPr>
    </w:p>
    <w:p>
      <w:pPr>
        <w:pStyle w:val="Style8"/>
        <w:widowControl/>
        <w:spacing w:line="360" w:lineRule="auto"/>
        <w:contextualSpacing/>
        <w:jc w:val="both"/>
        <w:rPr>
          <w:rStyle w:val="FontStyle62"/>
          <w:sz w:val="26"/>
          <w:szCs w:val="26"/>
        </w:rPr>
      </w:pPr>
      <w:r>
        <w:rPr>
          <w:b/>
          <w:bCs/>
          <w:noProof/>
          <w:sz w:val="26"/>
          <w:szCs w:val="26"/>
        </w:rPr>
        <w:drawing>
          <wp:inline distT="0" distB="0" distL="0" distR="0">
            <wp:extent cx="6350000" cy="720510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2700" cy="7208166"/>
                    </a:xfrm>
                    <a:prstGeom prst="rect">
                      <a:avLst/>
                    </a:prstGeom>
                    <a:noFill/>
                  </pic:spPr>
                </pic:pic>
              </a:graphicData>
            </a:graphic>
          </wp:inline>
        </w:drawing>
      </w:r>
    </w:p>
    <w:p>
      <w:pPr>
        <w:pStyle w:val="Style8"/>
        <w:keepNext/>
        <w:widowControl/>
        <w:spacing w:line="360" w:lineRule="auto"/>
        <w:ind w:left="3216"/>
        <w:contextualSpacing/>
        <w:jc w:val="right"/>
        <w:rPr>
          <w:rStyle w:val="FontStyle62"/>
          <w:b w:val="0"/>
          <w:i/>
          <w:sz w:val="26"/>
          <w:szCs w:val="26"/>
        </w:rPr>
      </w:pPr>
      <w:r>
        <w:rPr>
          <w:rStyle w:val="FontStyle62"/>
          <w:i/>
          <w:sz w:val="26"/>
          <w:szCs w:val="26"/>
        </w:rPr>
        <w:t>Диаграмма № 2</w:t>
      </w:r>
    </w:p>
    <w:p>
      <w:pPr>
        <w:pStyle w:val="Style8"/>
        <w:widowControl/>
        <w:spacing w:line="360" w:lineRule="auto"/>
        <w:ind w:left="8520"/>
        <w:contextualSpacing/>
        <w:jc w:val="both"/>
        <w:rPr>
          <w:rStyle w:val="FontStyle62"/>
          <w:sz w:val="26"/>
          <w:szCs w:val="26"/>
        </w:rPr>
      </w:pPr>
    </w:p>
    <w:p>
      <w:pPr>
        <w:pStyle w:val="Style8"/>
        <w:keepNext/>
        <w:widowControl/>
        <w:spacing w:line="360" w:lineRule="auto"/>
        <w:contextualSpacing/>
        <w:rPr>
          <w:rStyle w:val="FontStyle62"/>
          <w:sz w:val="26"/>
          <w:szCs w:val="26"/>
        </w:rPr>
      </w:pPr>
      <w:r>
        <w:rPr>
          <w:rStyle w:val="FontStyle62"/>
          <w:sz w:val="26"/>
          <w:szCs w:val="26"/>
        </w:rPr>
        <w:lastRenderedPageBreak/>
        <w:t>Категории устных обращений</w:t>
      </w:r>
    </w:p>
    <w:p>
      <w:pPr>
        <w:pStyle w:val="Style8"/>
        <w:widowControl/>
        <w:spacing w:line="360" w:lineRule="auto"/>
        <w:contextualSpacing/>
        <w:jc w:val="left"/>
        <w:rPr>
          <w:rStyle w:val="FontStyle62"/>
          <w:sz w:val="26"/>
          <w:szCs w:val="26"/>
        </w:rPr>
      </w:pPr>
      <w:r>
        <w:rPr>
          <w:b/>
          <w:bCs/>
          <w:noProof/>
          <w:sz w:val="26"/>
          <w:szCs w:val="26"/>
        </w:rPr>
        <w:drawing>
          <wp:inline distT="0" distB="0" distL="0" distR="0">
            <wp:extent cx="6273800" cy="70358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7740" cy="7040219"/>
                    </a:xfrm>
                    <a:prstGeom prst="rect">
                      <a:avLst/>
                    </a:prstGeom>
                    <a:noFill/>
                  </pic:spPr>
                </pic:pic>
              </a:graphicData>
            </a:graphic>
          </wp:inline>
        </w:drawing>
      </w:r>
    </w:p>
    <w:p>
      <w:pPr>
        <w:pStyle w:val="Style8"/>
        <w:keepNext/>
        <w:widowControl/>
        <w:spacing w:line="360" w:lineRule="auto"/>
        <w:ind w:left="3216"/>
        <w:contextualSpacing/>
        <w:jc w:val="right"/>
        <w:rPr>
          <w:rStyle w:val="FontStyle62"/>
          <w:b w:val="0"/>
          <w:i/>
          <w:sz w:val="26"/>
          <w:szCs w:val="26"/>
        </w:rPr>
      </w:pPr>
      <w:r>
        <w:rPr>
          <w:rStyle w:val="FontStyle62"/>
          <w:i/>
          <w:sz w:val="26"/>
          <w:szCs w:val="26"/>
        </w:rPr>
        <w:t>Диаграмма № 3</w:t>
      </w:r>
    </w:p>
    <w:p>
      <w:pPr>
        <w:pStyle w:val="Style9"/>
        <w:widowControl/>
        <w:spacing w:line="360" w:lineRule="auto"/>
        <w:ind w:firstLine="0"/>
        <w:contextualSpacing/>
        <w:jc w:val="right"/>
        <w:rPr>
          <w:sz w:val="26"/>
          <w:szCs w:val="26"/>
        </w:rPr>
      </w:pPr>
    </w:p>
    <w:p>
      <w:pPr>
        <w:pStyle w:val="Style9"/>
        <w:widowControl/>
        <w:spacing w:line="360" w:lineRule="auto"/>
        <w:ind w:firstLine="851"/>
        <w:contextualSpacing/>
        <w:rPr>
          <w:rStyle w:val="FontStyle61"/>
          <w:sz w:val="26"/>
          <w:szCs w:val="26"/>
        </w:rPr>
      </w:pPr>
      <w:r>
        <w:rPr>
          <w:rStyle w:val="FontStyle61"/>
          <w:sz w:val="26"/>
          <w:szCs w:val="26"/>
        </w:rPr>
        <w:t>Наибольшее количество письменных обращений в 2018 году поступило на приемах специалистов аппарата Уполномоченного по правам ребенка в Калужской области (далее - аппарат Уполномоченного) – 45,3%, по почте – 30% и по электронной почте – 16,7%.</w:t>
      </w:r>
    </w:p>
    <w:p>
      <w:pPr>
        <w:pStyle w:val="Style9"/>
        <w:widowControl/>
        <w:spacing w:line="360" w:lineRule="auto"/>
        <w:ind w:firstLine="851"/>
        <w:contextualSpacing/>
        <w:rPr>
          <w:rStyle w:val="FontStyle61"/>
          <w:sz w:val="26"/>
          <w:szCs w:val="26"/>
        </w:rPr>
      </w:pPr>
      <w:r>
        <w:rPr>
          <w:rStyle w:val="FontStyle61"/>
          <w:sz w:val="26"/>
          <w:szCs w:val="26"/>
        </w:rPr>
        <w:lastRenderedPageBreak/>
        <w:t>Устные обращения, как и раньше, поступали в основном по телефону – 64% и на личном приеме у специалистов аппарата Уполномоченного (в том числе и на выездных юридических консультациях) – 24%.</w:t>
      </w:r>
    </w:p>
    <w:p>
      <w:pPr>
        <w:pStyle w:val="Style8"/>
        <w:widowControl/>
        <w:spacing w:line="360" w:lineRule="auto"/>
        <w:ind w:left="2198"/>
        <w:contextualSpacing/>
        <w:jc w:val="both"/>
        <w:rPr>
          <w:sz w:val="26"/>
          <w:szCs w:val="26"/>
        </w:rPr>
      </w:pPr>
    </w:p>
    <w:p>
      <w:pPr>
        <w:pStyle w:val="Style8"/>
        <w:keepNext/>
        <w:widowControl/>
        <w:spacing w:line="360" w:lineRule="auto"/>
        <w:ind w:left="2200"/>
        <w:contextualSpacing/>
        <w:jc w:val="both"/>
        <w:rPr>
          <w:rStyle w:val="FontStyle62"/>
          <w:sz w:val="26"/>
          <w:szCs w:val="26"/>
        </w:rPr>
      </w:pPr>
      <w:r>
        <w:rPr>
          <w:rStyle w:val="FontStyle62"/>
          <w:sz w:val="26"/>
          <w:szCs w:val="26"/>
        </w:rPr>
        <w:t>Источники поступления письменных обращений</w:t>
      </w:r>
    </w:p>
    <w:p>
      <w:pPr>
        <w:pStyle w:val="Style8"/>
        <w:widowControl/>
        <w:spacing w:line="360" w:lineRule="auto"/>
        <w:contextualSpacing/>
        <w:jc w:val="both"/>
        <w:rPr>
          <w:rStyle w:val="FontStyle62"/>
          <w:sz w:val="26"/>
          <w:szCs w:val="26"/>
        </w:rPr>
      </w:pPr>
      <w:r>
        <w:rPr>
          <w:b/>
          <w:bCs/>
          <w:noProof/>
          <w:sz w:val="26"/>
          <w:szCs w:val="26"/>
        </w:rPr>
        <w:drawing>
          <wp:inline distT="0" distB="0" distL="0" distR="0">
            <wp:extent cx="6478511" cy="388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91" cy="3886848"/>
                    </a:xfrm>
                    <a:prstGeom prst="rect">
                      <a:avLst/>
                    </a:prstGeom>
                    <a:noFill/>
                  </pic:spPr>
                </pic:pic>
              </a:graphicData>
            </a:graphic>
          </wp:inline>
        </w:drawing>
      </w:r>
    </w:p>
    <w:p>
      <w:pPr>
        <w:pStyle w:val="Style8"/>
        <w:keepNext/>
        <w:widowControl/>
        <w:spacing w:line="360" w:lineRule="auto"/>
        <w:ind w:left="3215"/>
        <w:contextualSpacing/>
        <w:jc w:val="right"/>
        <w:rPr>
          <w:rStyle w:val="FontStyle62"/>
          <w:b w:val="0"/>
          <w:i/>
          <w:sz w:val="26"/>
          <w:szCs w:val="26"/>
        </w:rPr>
      </w:pPr>
      <w:r>
        <w:rPr>
          <w:rStyle w:val="FontStyle62"/>
          <w:i/>
          <w:sz w:val="26"/>
          <w:szCs w:val="26"/>
        </w:rPr>
        <w:t>Диаграмма № 4</w:t>
      </w:r>
    </w:p>
    <w:p>
      <w:pPr>
        <w:pStyle w:val="Style8"/>
        <w:widowControl/>
        <w:spacing w:line="360" w:lineRule="auto"/>
        <w:ind w:left="2510"/>
        <w:contextualSpacing/>
        <w:jc w:val="both"/>
        <w:rPr>
          <w:sz w:val="26"/>
          <w:szCs w:val="26"/>
        </w:rPr>
      </w:pPr>
    </w:p>
    <w:p>
      <w:pPr>
        <w:pStyle w:val="Style8"/>
        <w:keepNext/>
        <w:widowControl/>
        <w:spacing w:line="360" w:lineRule="auto"/>
        <w:ind w:left="2512"/>
        <w:contextualSpacing/>
        <w:jc w:val="both"/>
        <w:rPr>
          <w:rStyle w:val="FontStyle62"/>
          <w:sz w:val="26"/>
          <w:szCs w:val="26"/>
        </w:rPr>
      </w:pPr>
      <w:r>
        <w:rPr>
          <w:rStyle w:val="FontStyle62"/>
          <w:sz w:val="26"/>
          <w:szCs w:val="26"/>
        </w:rPr>
        <w:t>Источники поступления устных обращений</w:t>
      </w:r>
    </w:p>
    <w:p>
      <w:pPr>
        <w:pStyle w:val="Style8"/>
        <w:keepNext/>
        <w:widowControl/>
        <w:spacing w:line="360" w:lineRule="auto"/>
        <w:ind w:left="2512"/>
        <w:contextualSpacing/>
        <w:jc w:val="both"/>
        <w:rPr>
          <w:rStyle w:val="FontStyle62"/>
          <w:sz w:val="26"/>
          <w:szCs w:val="26"/>
        </w:rPr>
      </w:pPr>
    </w:p>
    <w:p>
      <w:pPr>
        <w:pStyle w:val="Style8"/>
        <w:widowControl/>
        <w:spacing w:line="360" w:lineRule="auto"/>
        <w:contextualSpacing/>
        <w:jc w:val="both"/>
        <w:rPr>
          <w:sz w:val="26"/>
          <w:szCs w:val="26"/>
        </w:rPr>
      </w:pPr>
      <w:r>
        <w:rPr>
          <w:noProof/>
          <w:sz w:val="26"/>
          <w:szCs w:val="26"/>
        </w:rPr>
        <w:drawing>
          <wp:inline distT="0" distB="0" distL="0" distR="0">
            <wp:extent cx="6477000" cy="246751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6560" cy="2471157"/>
                    </a:xfrm>
                    <a:prstGeom prst="rect">
                      <a:avLst/>
                    </a:prstGeom>
                    <a:noFill/>
                  </pic:spPr>
                </pic:pic>
              </a:graphicData>
            </a:graphic>
          </wp:inline>
        </w:drawing>
      </w:r>
    </w:p>
    <w:p>
      <w:pPr>
        <w:pStyle w:val="Style8"/>
        <w:widowControl/>
        <w:spacing w:line="360" w:lineRule="auto"/>
        <w:ind w:left="3216"/>
        <w:contextualSpacing/>
        <w:jc w:val="right"/>
        <w:rPr>
          <w:rStyle w:val="FontStyle62"/>
          <w:b w:val="0"/>
          <w:i/>
          <w:sz w:val="26"/>
          <w:szCs w:val="26"/>
        </w:rPr>
      </w:pPr>
      <w:r>
        <w:rPr>
          <w:rStyle w:val="FontStyle62"/>
          <w:i/>
          <w:sz w:val="26"/>
          <w:szCs w:val="26"/>
        </w:rPr>
        <w:t>Диаграмма № 5</w:t>
      </w:r>
    </w:p>
    <w:p>
      <w:pPr>
        <w:pStyle w:val="Style9"/>
        <w:widowControl/>
        <w:spacing w:line="360" w:lineRule="auto"/>
        <w:ind w:firstLine="706"/>
        <w:contextualSpacing/>
        <w:rPr>
          <w:rStyle w:val="FontStyle61"/>
          <w:sz w:val="26"/>
          <w:szCs w:val="26"/>
        </w:rPr>
      </w:pPr>
    </w:p>
    <w:p>
      <w:pPr>
        <w:pStyle w:val="Style9"/>
        <w:widowControl/>
        <w:spacing w:line="360" w:lineRule="auto"/>
        <w:ind w:firstLine="706"/>
        <w:contextualSpacing/>
        <w:rPr>
          <w:rStyle w:val="FontStyle61"/>
          <w:sz w:val="26"/>
          <w:szCs w:val="26"/>
        </w:rPr>
      </w:pPr>
      <w:r>
        <w:rPr>
          <w:rStyle w:val="FontStyle61"/>
          <w:sz w:val="26"/>
          <w:szCs w:val="26"/>
        </w:rPr>
        <w:lastRenderedPageBreak/>
        <w:t>Чаще всего к Уполномоченному обращаются родители несовершеннолетних - 64,7% от общего количества обращений, приемные семьи, опекуны и попечители – 16,7% и третьи лица (соседи, осведомленные граждане) – 13,7%.</w:t>
      </w:r>
    </w:p>
    <w:p>
      <w:pPr>
        <w:pStyle w:val="Style9"/>
        <w:widowControl/>
        <w:spacing w:line="360" w:lineRule="auto"/>
        <w:ind w:firstLine="706"/>
        <w:contextualSpacing/>
        <w:jc w:val="left"/>
        <w:rPr>
          <w:rStyle w:val="FontStyle61"/>
          <w:sz w:val="26"/>
          <w:szCs w:val="26"/>
        </w:rPr>
      </w:pPr>
    </w:p>
    <w:p>
      <w:pPr>
        <w:pStyle w:val="Style8"/>
        <w:keepNext/>
        <w:widowControl/>
        <w:spacing w:line="360" w:lineRule="auto"/>
        <w:contextualSpacing/>
        <w:rPr>
          <w:rStyle w:val="FontStyle62"/>
          <w:sz w:val="26"/>
          <w:szCs w:val="26"/>
        </w:rPr>
      </w:pPr>
      <w:r>
        <w:rPr>
          <w:rStyle w:val="FontStyle62"/>
          <w:sz w:val="26"/>
          <w:szCs w:val="26"/>
        </w:rPr>
        <w:t>Категории обратившихся граждан (письменно)</w:t>
      </w:r>
    </w:p>
    <w:p>
      <w:pPr>
        <w:pStyle w:val="Style9"/>
        <w:widowControl/>
        <w:spacing w:line="360" w:lineRule="auto"/>
        <w:ind w:firstLine="0"/>
        <w:contextualSpacing/>
        <w:jc w:val="left"/>
        <w:rPr>
          <w:rStyle w:val="FontStyle61"/>
          <w:sz w:val="26"/>
          <w:szCs w:val="26"/>
        </w:rPr>
      </w:pPr>
      <w:r>
        <w:rPr>
          <w:noProof/>
          <w:sz w:val="26"/>
          <w:szCs w:val="26"/>
        </w:rPr>
        <w:drawing>
          <wp:inline distT="0" distB="0" distL="0" distR="0">
            <wp:extent cx="6347460" cy="593659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4028" cy="5942740"/>
                    </a:xfrm>
                    <a:prstGeom prst="rect">
                      <a:avLst/>
                    </a:prstGeom>
                    <a:noFill/>
                  </pic:spPr>
                </pic:pic>
              </a:graphicData>
            </a:graphic>
          </wp:inline>
        </w:drawing>
      </w:r>
    </w:p>
    <w:p>
      <w:pPr>
        <w:pStyle w:val="Style8"/>
        <w:keepNext/>
        <w:widowControl/>
        <w:spacing w:line="360" w:lineRule="auto"/>
        <w:ind w:left="3215"/>
        <w:contextualSpacing/>
        <w:jc w:val="right"/>
        <w:rPr>
          <w:rStyle w:val="FontStyle62"/>
          <w:b w:val="0"/>
          <w:i/>
          <w:sz w:val="26"/>
          <w:szCs w:val="26"/>
        </w:rPr>
      </w:pPr>
      <w:r>
        <w:rPr>
          <w:rStyle w:val="FontStyle62"/>
          <w:i/>
          <w:sz w:val="26"/>
          <w:szCs w:val="26"/>
        </w:rPr>
        <w:t>Диаграмма № 6</w:t>
      </w:r>
    </w:p>
    <w:p>
      <w:pPr>
        <w:pStyle w:val="Style9"/>
        <w:widowControl/>
        <w:spacing w:line="360" w:lineRule="auto"/>
        <w:ind w:firstLine="706"/>
        <w:contextualSpacing/>
        <w:jc w:val="left"/>
        <w:rPr>
          <w:rStyle w:val="FontStyle61"/>
          <w:sz w:val="26"/>
          <w:szCs w:val="26"/>
        </w:rPr>
      </w:pPr>
    </w:p>
    <w:p>
      <w:pPr>
        <w:pStyle w:val="Style8"/>
        <w:keepNext/>
        <w:widowControl/>
        <w:spacing w:line="360" w:lineRule="auto"/>
        <w:ind w:left="2620"/>
        <w:contextualSpacing/>
        <w:jc w:val="both"/>
        <w:rPr>
          <w:rStyle w:val="FontStyle62"/>
          <w:sz w:val="26"/>
          <w:szCs w:val="26"/>
        </w:rPr>
      </w:pPr>
      <w:r>
        <w:rPr>
          <w:rStyle w:val="FontStyle62"/>
          <w:sz w:val="26"/>
          <w:szCs w:val="26"/>
        </w:rPr>
        <w:lastRenderedPageBreak/>
        <w:t>Категория обратившихся граждан (устно)</w:t>
      </w:r>
    </w:p>
    <w:p>
      <w:pPr>
        <w:spacing w:after="0" w:line="360" w:lineRule="auto"/>
        <w:contextualSpacing/>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85560" cy="425112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0591" cy="4247820"/>
                    </a:xfrm>
                    <a:prstGeom prst="rect">
                      <a:avLst/>
                    </a:prstGeom>
                    <a:noFill/>
                  </pic:spPr>
                </pic:pic>
              </a:graphicData>
            </a:graphic>
          </wp:inline>
        </w:drawing>
      </w:r>
    </w:p>
    <w:p>
      <w:pPr>
        <w:pStyle w:val="Style8"/>
        <w:keepNext/>
        <w:widowControl/>
        <w:spacing w:line="360" w:lineRule="auto"/>
        <w:ind w:left="3215"/>
        <w:contextualSpacing/>
        <w:jc w:val="right"/>
        <w:rPr>
          <w:rStyle w:val="FontStyle62"/>
          <w:b w:val="0"/>
          <w:i/>
          <w:sz w:val="26"/>
          <w:szCs w:val="26"/>
        </w:rPr>
      </w:pPr>
      <w:r>
        <w:rPr>
          <w:rStyle w:val="FontStyle62"/>
          <w:i/>
          <w:sz w:val="26"/>
          <w:szCs w:val="26"/>
        </w:rPr>
        <w:t>Диаграмма № 7</w:t>
      </w:r>
    </w:p>
    <w:p>
      <w:pPr>
        <w:spacing w:after="0" w:line="360" w:lineRule="auto"/>
        <w:contextualSpacing/>
        <w:rPr>
          <w:rFonts w:ascii="Times New Roman" w:hAnsi="Times New Roman" w:cs="Times New Roman"/>
          <w:sz w:val="26"/>
          <w:szCs w:val="26"/>
        </w:rPr>
      </w:pPr>
    </w:p>
    <w:p>
      <w:pPr>
        <w:pStyle w:val="Style9"/>
        <w:widowControl/>
        <w:spacing w:line="360" w:lineRule="auto"/>
        <w:ind w:firstLine="706"/>
        <w:contextualSpacing/>
        <w:rPr>
          <w:rStyle w:val="FontStyle61"/>
          <w:sz w:val="26"/>
          <w:szCs w:val="26"/>
        </w:rPr>
      </w:pPr>
      <w:r>
        <w:rPr>
          <w:rStyle w:val="FontStyle61"/>
          <w:sz w:val="26"/>
          <w:szCs w:val="26"/>
        </w:rPr>
        <w:t>Неизменным, по сравнению с предыдущим периодом, остался состав муниципальных районов и городских области, из которых поступило наибольшее количество как письменных, так и устных обращений: города Калуга и Обнинск, Малоярославецкий, Боровский, Дзержинский районы.</w:t>
      </w:r>
    </w:p>
    <w:p>
      <w:pPr>
        <w:pStyle w:val="Style8"/>
        <w:widowControl/>
        <w:spacing w:line="360" w:lineRule="auto"/>
        <w:ind w:left="346"/>
        <w:contextualSpacing/>
        <w:jc w:val="both"/>
        <w:rPr>
          <w:rStyle w:val="FontStyle62"/>
          <w:sz w:val="26"/>
          <w:szCs w:val="26"/>
        </w:rPr>
      </w:pPr>
    </w:p>
    <w:p>
      <w:pPr>
        <w:pStyle w:val="Style8"/>
        <w:keepNext/>
        <w:widowControl/>
        <w:spacing w:line="360" w:lineRule="auto"/>
        <w:ind w:left="346"/>
        <w:contextualSpacing/>
        <w:jc w:val="both"/>
        <w:rPr>
          <w:rStyle w:val="FontStyle62"/>
          <w:sz w:val="26"/>
          <w:szCs w:val="26"/>
        </w:rPr>
      </w:pPr>
      <w:r>
        <w:rPr>
          <w:rStyle w:val="FontStyle62"/>
          <w:sz w:val="26"/>
          <w:szCs w:val="26"/>
        </w:rPr>
        <w:lastRenderedPageBreak/>
        <w:t>Муниципальные образования, из которых поступили письменные обращения</w:t>
      </w:r>
    </w:p>
    <w:p>
      <w:pPr>
        <w:pStyle w:val="Style8"/>
        <w:widowControl/>
        <w:spacing w:line="360" w:lineRule="auto"/>
        <w:contextualSpacing/>
        <w:jc w:val="both"/>
        <w:rPr>
          <w:rStyle w:val="FontStyle62"/>
          <w:sz w:val="26"/>
          <w:szCs w:val="26"/>
        </w:rPr>
      </w:pPr>
      <w:r>
        <w:rPr>
          <w:b/>
          <w:bCs/>
          <w:noProof/>
          <w:sz w:val="26"/>
          <w:szCs w:val="26"/>
        </w:rPr>
        <w:drawing>
          <wp:inline distT="0" distB="0" distL="0" distR="0">
            <wp:extent cx="6370320" cy="860038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195" cy="8602918"/>
                    </a:xfrm>
                    <a:prstGeom prst="rect">
                      <a:avLst/>
                    </a:prstGeom>
                    <a:noFill/>
                  </pic:spPr>
                </pic:pic>
              </a:graphicData>
            </a:graphic>
          </wp:inline>
        </w:drawing>
      </w:r>
    </w:p>
    <w:p>
      <w:pPr>
        <w:pStyle w:val="Style8"/>
        <w:keepNext/>
        <w:widowControl/>
        <w:spacing w:line="360" w:lineRule="auto"/>
        <w:ind w:left="3215"/>
        <w:contextualSpacing/>
        <w:jc w:val="right"/>
        <w:rPr>
          <w:rStyle w:val="FontStyle62"/>
          <w:b w:val="0"/>
          <w:i/>
          <w:sz w:val="26"/>
          <w:szCs w:val="26"/>
        </w:rPr>
      </w:pPr>
      <w:r>
        <w:rPr>
          <w:rStyle w:val="FontStyle62"/>
          <w:i/>
          <w:sz w:val="26"/>
          <w:szCs w:val="26"/>
        </w:rPr>
        <w:t>Диаграмма № 8</w:t>
      </w:r>
    </w:p>
    <w:p>
      <w:pPr>
        <w:pStyle w:val="Style8"/>
        <w:widowControl/>
        <w:spacing w:line="360" w:lineRule="auto"/>
        <w:contextualSpacing/>
        <w:jc w:val="both"/>
        <w:rPr>
          <w:rStyle w:val="FontStyle62"/>
          <w:sz w:val="26"/>
          <w:szCs w:val="26"/>
        </w:rPr>
      </w:pPr>
    </w:p>
    <w:p>
      <w:pPr>
        <w:pStyle w:val="Style8"/>
        <w:keepNext/>
        <w:widowControl/>
        <w:spacing w:line="360" w:lineRule="auto"/>
        <w:contextualSpacing/>
        <w:rPr>
          <w:rStyle w:val="FontStyle62"/>
          <w:sz w:val="26"/>
          <w:szCs w:val="26"/>
        </w:rPr>
      </w:pPr>
      <w:r>
        <w:rPr>
          <w:rStyle w:val="FontStyle62"/>
          <w:sz w:val="26"/>
          <w:szCs w:val="26"/>
        </w:rPr>
        <w:lastRenderedPageBreak/>
        <w:t>Муниципальные образования, из которых обратились за получением устной юридической консультации</w:t>
      </w:r>
    </w:p>
    <w:p>
      <w:pPr>
        <w:pStyle w:val="Style8"/>
        <w:keepNext/>
        <w:widowControl/>
        <w:spacing w:line="360" w:lineRule="auto"/>
        <w:contextualSpacing/>
        <w:rPr>
          <w:rStyle w:val="FontStyle62"/>
          <w:sz w:val="26"/>
          <w:szCs w:val="26"/>
        </w:rPr>
      </w:pPr>
    </w:p>
    <w:p>
      <w:pPr>
        <w:pStyle w:val="Style8"/>
        <w:widowControl/>
        <w:spacing w:line="360" w:lineRule="auto"/>
        <w:contextualSpacing/>
        <w:jc w:val="both"/>
        <w:rPr>
          <w:rStyle w:val="FontStyle62"/>
          <w:sz w:val="26"/>
          <w:szCs w:val="26"/>
        </w:rPr>
      </w:pPr>
      <w:r>
        <w:rPr>
          <w:b/>
          <w:bCs/>
          <w:noProof/>
          <w:sz w:val="26"/>
          <w:szCs w:val="26"/>
        </w:rPr>
        <w:drawing>
          <wp:inline distT="0" distB="0" distL="0" distR="0">
            <wp:extent cx="6370320" cy="8382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4704" cy="8387769"/>
                    </a:xfrm>
                    <a:prstGeom prst="rect">
                      <a:avLst/>
                    </a:prstGeom>
                    <a:noFill/>
                  </pic:spPr>
                </pic:pic>
              </a:graphicData>
            </a:graphic>
          </wp:inline>
        </w:drawing>
      </w:r>
    </w:p>
    <w:p>
      <w:pPr>
        <w:pStyle w:val="Style8"/>
        <w:widowControl/>
        <w:spacing w:line="360" w:lineRule="auto"/>
        <w:ind w:left="3216"/>
        <w:contextualSpacing/>
        <w:jc w:val="right"/>
        <w:rPr>
          <w:rStyle w:val="FontStyle62"/>
          <w:b w:val="0"/>
          <w:i/>
          <w:sz w:val="26"/>
          <w:szCs w:val="26"/>
        </w:rPr>
      </w:pPr>
      <w:r>
        <w:rPr>
          <w:rStyle w:val="FontStyle62"/>
          <w:i/>
          <w:sz w:val="26"/>
          <w:szCs w:val="26"/>
        </w:rPr>
        <w:t>Диаграмма № 9</w:t>
      </w:r>
    </w:p>
    <w:p>
      <w:pPr>
        <w:pStyle w:val="Style8"/>
        <w:widowControl/>
        <w:spacing w:line="360" w:lineRule="auto"/>
        <w:contextualSpacing/>
        <w:jc w:val="both"/>
        <w:rPr>
          <w:rStyle w:val="FontStyle62"/>
          <w:sz w:val="26"/>
          <w:szCs w:val="26"/>
        </w:rPr>
      </w:pPr>
    </w:p>
    <w:p>
      <w:pPr>
        <w:pStyle w:val="Style9"/>
        <w:widowControl/>
        <w:spacing w:line="360" w:lineRule="auto"/>
        <w:ind w:firstLine="720"/>
        <w:contextualSpacing/>
        <w:rPr>
          <w:rStyle w:val="FontStyle61"/>
          <w:sz w:val="26"/>
          <w:szCs w:val="26"/>
        </w:rPr>
      </w:pPr>
      <w:r>
        <w:rPr>
          <w:rStyle w:val="FontStyle61"/>
          <w:sz w:val="26"/>
          <w:szCs w:val="26"/>
        </w:rPr>
        <w:t>Пунктом 1 статьи 19 Закона Калужской области от 25.02.2011 № 108-ОЗ «Об Уполномоченном по правам ребенка в Калужской области» предусмотрено, что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 должностного лица, государственного служащего, муниципального служащего, иных лиц.</w:t>
      </w:r>
    </w:p>
    <w:p>
      <w:pPr>
        <w:pStyle w:val="Style9"/>
        <w:widowControl/>
        <w:spacing w:line="360" w:lineRule="auto"/>
        <w:ind w:firstLine="706"/>
        <w:contextualSpacing/>
        <w:rPr>
          <w:rStyle w:val="FontStyle61"/>
          <w:sz w:val="26"/>
          <w:szCs w:val="26"/>
        </w:rPr>
      </w:pPr>
      <w:r>
        <w:rPr>
          <w:rStyle w:val="FontStyle61"/>
          <w:sz w:val="26"/>
          <w:szCs w:val="26"/>
        </w:rPr>
        <w:t>Пользуясь своим правом, Уполномоченный продолжает принимать участие в судебных процессах в защиту прав несовершеннолетних.</w:t>
      </w:r>
    </w:p>
    <w:p>
      <w:pPr>
        <w:pStyle w:val="Style9"/>
        <w:widowControl/>
        <w:spacing w:line="360" w:lineRule="auto"/>
        <w:ind w:firstLine="706"/>
        <w:contextualSpacing/>
        <w:rPr>
          <w:rStyle w:val="FontStyle61"/>
          <w:sz w:val="26"/>
          <w:szCs w:val="26"/>
        </w:rPr>
      </w:pPr>
      <w:r>
        <w:rPr>
          <w:rStyle w:val="FontStyle61"/>
          <w:sz w:val="26"/>
          <w:szCs w:val="26"/>
        </w:rPr>
        <w:t>Количество судебных заседаний с участием Уполномоченного в 2018 году по сравнению с прошлым годом незначительно увеличилось – 48 против 45 в 2017 году.</w:t>
      </w:r>
    </w:p>
    <w:p>
      <w:pPr>
        <w:pStyle w:val="Style8"/>
        <w:widowControl/>
        <w:spacing w:line="360" w:lineRule="auto"/>
        <w:ind w:left="3629"/>
        <w:contextualSpacing/>
        <w:jc w:val="left"/>
        <w:rPr>
          <w:rStyle w:val="FontStyle62"/>
          <w:sz w:val="26"/>
          <w:szCs w:val="26"/>
        </w:rPr>
      </w:pPr>
    </w:p>
    <w:p>
      <w:pPr>
        <w:pStyle w:val="Style8"/>
        <w:widowControl/>
        <w:spacing w:line="360" w:lineRule="auto"/>
        <w:contextualSpacing/>
        <w:rPr>
          <w:rStyle w:val="FontStyle62"/>
          <w:sz w:val="26"/>
          <w:szCs w:val="26"/>
        </w:rPr>
      </w:pPr>
      <w:r>
        <w:rPr>
          <w:rStyle w:val="FontStyle62"/>
          <w:sz w:val="26"/>
          <w:szCs w:val="26"/>
        </w:rPr>
        <w:t>Категории судебных заседаний</w:t>
      </w:r>
    </w:p>
    <w:p>
      <w:pPr>
        <w:pStyle w:val="Style8"/>
        <w:widowControl/>
        <w:spacing w:line="360" w:lineRule="auto"/>
        <w:contextualSpacing/>
        <w:rPr>
          <w:rStyle w:val="FontStyle62"/>
          <w:sz w:val="26"/>
          <w:szCs w:val="26"/>
        </w:rPr>
      </w:pPr>
    </w:p>
    <w:p>
      <w:pPr>
        <w:pStyle w:val="Style8"/>
        <w:widowControl/>
        <w:spacing w:line="360" w:lineRule="auto"/>
        <w:contextualSpacing/>
        <w:jc w:val="left"/>
        <w:rPr>
          <w:rStyle w:val="FontStyle62"/>
          <w:sz w:val="26"/>
          <w:szCs w:val="26"/>
        </w:rPr>
      </w:pPr>
      <w:r>
        <w:rPr>
          <w:b/>
          <w:bCs/>
          <w:noProof/>
          <w:sz w:val="26"/>
          <w:szCs w:val="26"/>
        </w:rPr>
        <w:drawing>
          <wp:inline distT="0" distB="0" distL="0" distR="0">
            <wp:extent cx="6431280" cy="2452540"/>
            <wp:effectExtent l="1905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7505" cy="2451100"/>
                    </a:xfrm>
                    <a:prstGeom prst="rect">
                      <a:avLst/>
                    </a:prstGeom>
                    <a:noFill/>
                  </pic:spPr>
                </pic:pic>
              </a:graphicData>
            </a:graphic>
          </wp:inline>
        </w:drawing>
      </w:r>
    </w:p>
    <w:p>
      <w:pPr>
        <w:pStyle w:val="Style8"/>
        <w:widowControl/>
        <w:spacing w:line="360" w:lineRule="auto"/>
        <w:ind w:left="3216"/>
        <w:contextualSpacing/>
        <w:jc w:val="right"/>
        <w:rPr>
          <w:rStyle w:val="FontStyle62"/>
          <w:b w:val="0"/>
          <w:i/>
          <w:sz w:val="26"/>
          <w:szCs w:val="26"/>
        </w:rPr>
      </w:pPr>
      <w:r>
        <w:rPr>
          <w:rStyle w:val="FontStyle62"/>
          <w:i/>
          <w:sz w:val="26"/>
          <w:szCs w:val="26"/>
        </w:rPr>
        <w:t>Диаграмма № 10</w:t>
      </w:r>
    </w:p>
    <w:p>
      <w:pPr>
        <w:pStyle w:val="Style8"/>
        <w:widowControl/>
        <w:spacing w:line="360" w:lineRule="auto"/>
        <w:contextualSpacing/>
        <w:jc w:val="left"/>
        <w:rPr>
          <w:rStyle w:val="FontStyle62"/>
          <w:sz w:val="26"/>
          <w:szCs w:val="26"/>
        </w:rPr>
      </w:pPr>
    </w:p>
    <w:bookmarkEnd w:id="2"/>
    <w:p>
      <w:pPr>
        <w:pStyle w:val="Style9"/>
        <w:widowControl/>
        <w:spacing w:line="360" w:lineRule="auto"/>
        <w:ind w:firstLine="706"/>
        <w:contextualSpacing/>
        <w:rPr>
          <w:rStyle w:val="FontStyle61"/>
          <w:sz w:val="26"/>
          <w:szCs w:val="26"/>
        </w:rPr>
      </w:pPr>
      <w:r>
        <w:rPr>
          <w:rStyle w:val="FontStyle61"/>
          <w:sz w:val="26"/>
          <w:szCs w:val="26"/>
        </w:rPr>
        <w:t xml:space="preserve">Еще один показатель, характеризующий деятельность Уполномоченного и его аппарата – это подготовка документов правового характера. Все чаще к Уполномоченному стали поступать обращения граждан с просьбой об оказании помощи в подготовке различных документов правового характера, таких как исковые заявления, апелляционные и кассационные жалобы на решения судов, заявления и ходатайства в </w:t>
      </w:r>
      <w:r>
        <w:rPr>
          <w:rStyle w:val="FontStyle61"/>
          <w:sz w:val="26"/>
          <w:szCs w:val="26"/>
        </w:rPr>
        <w:lastRenderedPageBreak/>
        <w:t>суды. Всего за 2018 год специалистами аппарата Уполномоченного подготовлено 154 документа правового характера, в том числе:</w:t>
      </w:r>
    </w:p>
    <w:p>
      <w:pPr>
        <w:pStyle w:val="Style9"/>
        <w:widowControl/>
        <w:spacing w:line="360" w:lineRule="auto"/>
        <w:ind w:firstLine="706"/>
        <w:contextualSpacing/>
        <w:rPr>
          <w:rStyle w:val="FontStyle61"/>
          <w:sz w:val="26"/>
          <w:szCs w:val="26"/>
        </w:rPr>
      </w:pPr>
      <w:r>
        <w:rPr>
          <w:rStyle w:val="FontStyle61"/>
          <w:sz w:val="26"/>
          <w:szCs w:val="26"/>
        </w:rPr>
        <w:t>Исковые заявления – 100;</w:t>
      </w:r>
    </w:p>
    <w:p>
      <w:pPr>
        <w:pStyle w:val="Style9"/>
        <w:widowControl/>
        <w:spacing w:line="360" w:lineRule="auto"/>
        <w:ind w:firstLine="706"/>
        <w:contextualSpacing/>
        <w:rPr>
          <w:rStyle w:val="FontStyle61"/>
          <w:sz w:val="26"/>
          <w:szCs w:val="26"/>
        </w:rPr>
      </w:pPr>
      <w:r>
        <w:rPr>
          <w:rStyle w:val="FontStyle61"/>
          <w:sz w:val="26"/>
          <w:szCs w:val="26"/>
        </w:rPr>
        <w:t>Апелляционные жалобы – 21;</w:t>
      </w:r>
    </w:p>
    <w:p>
      <w:pPr>
        <w:pStyle w:val="Style9"/>
        <w:widowControl/>
        <w:spacing w:line="360" w:lineRule="auto"/>
        <w:ind w:firstLine="706"/>
        <w:contextualSpacing/>
        <w:rPr>
          <w:rStyle w:val="FontStyle61"/>
          <w:sz w:val="26"/>
          <w:szCs w:val="26"/>
        </w:rPr>
      </w:pPr>
      <w:r>
        <w:rPr>
          <w:rStyle w:val="FontStyle61"/>
          <w:sz w:val="26"/>
          <w:szCs w:val="26"/>
        </w:rPr>
        <w:t>Кассационные жалобы – 3;</w:t>
      </w:r>
    </w:p>
    <w:p>
      <w:pPr>
        <w:pStyle w:val="Style9"/>
        <w:widowControl/>
        <w:spacing w:line="360" w:lineRule="auto"/>
        <w:ind w:firstLine="706"/>
        <w:contextualSpacing/>
        <w:rPr>
          <w:rStyle w:val="FontStyle61"/>
          <w:sz w:val="26"/>
          <w:szCs w:val="26"/>
        </w:rPr>
      </w:pPr>
      <w:r>
        <w:rPr>
          <w:rStyle w:val="FontStyle61"/>
          <w:sz w:val="26"/>
          <w:szCs w:val="26"/>
        </w:rPr>
        <w:t>Ходатайства в суд – 9;</w:t>
      </w:r>
    </w:p>
    <w:p>
      <w:pPr>
        <w:pStyle w:val="Style9"/>
        <w:widowControl/>
        <w:spacing w:line="360" w:lineRule="auto"/>
        <w:ind w:firstLine="706"/>
        <w:contextualSpacing/>
        <w:rPr>
          <w:rStyle w:val="FontStyle61"/>
          <w:sz w:val="26"/>
          <w:szCs w:val="26"/>
        </w:rPr>
      </w:pPr>
      <w:r>
        <w:rPr>
          <w:rStyle w:val="FontStyle61"/>
          <w:sz w:val="26"/>
          <w:szCs w:val="26"/>
        </w:rPr>
        <w:t>Заявления в суд – 21.</w:t>
      </w: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contextualSpacing/>
        <w:rPr>
          <w:rFonts w:ascii="Times New Roman" w:hAnsi="Times New Roman" w:cs="Times New Roman"/>
          <w:sz w:val="26"/>
          <w:szCs w:val="26"/>
        </w:rPr>
      </w:pPr>
    </w:p>
    <w:p>
      <w:pPr>
        <w:spacing w:line="36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 О ПОЛОЖЕНИИ ДЕЛ В ОБЛАСТИ ЗАЩИТЫ ПРАВ И ЗАКОННЫХ ИНТЕРЕСОВ ДЕТЕЙ НА ТЕРРИТОРИИ РЕГИОНА</w:t>
      </w:r>
    </w:p>
    <w:p>
      <w:pPr>
        <w:spacing w:line="360" w:lineRule="auto"/>
        <w:ind w:firstLine="709"/>
        <w:contextualSpacing/>
        <w:jc w:val="center"/>
        <w:rPr>
          <w:rFonts w:ascii="Times New Roman" w:hAnsi="Times New Roman" w:cs="Times New Roman"/>
          <w:b/>
          <w:sz w:val="26"/>
          <w:szCs w:val="26"/>
        </w:rPr>
      </w:pPr>
    </w:p>
    <w:p>
      <w:pPr>
        <w:spacing w:line="36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t>2.1. ПРАВО НА ЖИЗНЬ</w:t>
      </w:r>
    </w:p>
    <w:p>
      <w:pPr>
        <w:spacing w:line="360" w:lineRule="auto"/>
        <w:ind w:firstLine="709"/>
        <w:contextualSpacing/>
        <w:jc w:val="center"/>
        <w:rPr>
          <w:rFonts w:ascii="Times New Roman" w:hAnsi="Times New Roman" w:cs="Times New Roman"/>
          <w:b/>
          <w:sz w:val="26"/>
          <w:szCs w:val="26"/>
        </w:rPr>
      </w:pPr>
    </w:p>
    <w:p>
      <w:pPr>
        <w:spacing w:line="360" w:lineRule="auto"/>
        <w:ind w:firstLine="709"/>
        <w:contextualSpacing/>
        <w:jc w:val="both"/>
        <w:rPr>
          <w:sz w:val="26"/>
          <w:szCs w:val="26"/>
        </w:rPr>
      </w:pPr>
      <w:r>
        <w:rPr>
          <w:rFonts w:ascii="Times New Roman" w:hAnsi="Times New Roman" w:cs="Times New Roman"/>
          <w:sz w:val="26"/>
          <w:szCs w:val="26"/>
        </w:rPr>
        <w:t>Наивысшее право человека - это право на жизнь. Оно заключается как в недопустимости лишения жизни, так и в создании условий для повышения рождаемости, в создании благоприятных условий для жизни и всестороннего развития детей.</w:t>
      </w:r>
      <w:r>
        <w:rPr>
          <w:sz w:val="26"/>
          <w:szCs w:val="26"/>
        </w:rPr>
        <w:t xml:space="preserve">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Право на жизнь — неотъемлемое право каждого человека, охраняемое законом.</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статьи 6 Конвенции о правах ребенка государство признает, что каждый ребенок имеет право на жизнь. Государство обеспечивает в максимально возможной степени выживание и здоровое развитие ребенка.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Статьей 20 Конституции Российской Федерации каждому гарантировано право на жизнь.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в Калужской области родилось 10 355 детей. По сравнению с предыдущими годами намечается устойчивое снижение рождаемости.</w:t>
      </w:r>
    </w:p>
    <w:p>
      <w:pPr>
        <w:spacing w:line="240" w:lineRule="auto"/>
        <w:ind w:firstLine="709"/>
        <w:contextualSpacing/>
        <w:jc w:val="both"/>
        <w:rPr>
          <w:rFonts w:ascii="Times New Roman" w:hAnsi="Times New Roman" w:cs="Times New Roman"/>
          <w:sz w:val="26"/>
          <w:szCs w:val="26"/>
        </w:rPr>
      </w:pPr>
    </w:p>
    <w:p>
      <w:pPr>
        <w:spacing w:line="24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290310" cy="2750820"/>
            <wp:effectExtent l="19050" t="0" r="1524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 11</w:t>
      </w:r>
    </w:p>
    <w:p>
      <w:pPr>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тоже время на протяжении 4 лет наблюдается стойкое снижение количества умерших несовершеннолетних со 168 в 2015 году, до 91 в 2018 году, в том числе младенческих смертей (в возрасте до 1 года) со 110 в 2015 году, до 49 в 2018 году. Также сократилось и количество перинатальных смертей со 139 в 2015 году, до 65 в 2018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По данным УМВД России по Калужской области в 2017 году на территории региона совершенно 2 суицида и 9 попыток суицида несовершеннолетними. 1 суицид совершен несовершеннолетним в возрасте 17 лет и 1 в возрасте 14 лет. Попытки суицида совершались несовершеннолетними в возрасте от 11 до 16 лет (11 лет – 1 ребенок, 13 лет – 1 ребенок, 14 лет – 2 детей, 15 лет - 3 детей, 16 лет – 1 ребенок).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2018 году в Калужской области совершенно 4 суицида и 6 попыток суицида несовершеннолетними.  1 суицид совершен несовершеннолетним в возрасте 17 лет, 2 в возрасте 15 лет и 1 в возрасте 12 лет. Попытки суицида совершались несовершеннолетними в возрасте от 12 до 17 лет (12 лет – 2 детей, 14 лет – 1 ребенок, 15 лет - 2 детей, 17 лет – 1 ребенок).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 два года среди завершенных случаев суицида 3 совершенно мальчиками и 3 девочками, среди незавершенных 3 совершено мальчиками и 12 девочками.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Причинами суицидов и попыток суицидов чаще всего являются: депрессия, одиночество, ссоры с родителями, близкими людьми, неудачно сложившееся отношения со сверстниками, в том числе с представителями противоположного пола, неуверенность в себе, неприятие себя, психические расстройства. Значительную роль играет нарушение детско-родительских отношений.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Несовершеннолетним, совершившим попытку суицида или находящимся в остром пресуицидальном состоянии, оказывается квалифицированная медицинская помощь детскими врачами-психиатрами ГБУЗ КО «КОПБ им. А.Е. Лифшица». В тоже время в Калужской области нет суциодологического центра или кабинета и существует кадровый дефицит обученных суицидологии психиатров.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декабря 2017 года в ГБУЗ КО «КОПБ им. А.Е. Лифшица» функционирует отделение (кабинет) «телефон доверия», в котором работают врачи-психиатры и медицинские психологи больницы. Номер телефона доверия 8-800-707-96-10 или              8-4842-27-99-25 (звонок бесплатный). Специалисты оказывают профилактическую консультационную помощь по телефону обратившимся лицам с целью предотвращения суицидальных и иных опасных действий.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Также на территории Калужской области действует круглосуточный Единый телефон доверия (номер 8-800-2000-122).  Звонок может быть осуществлен  с любого  телефона, является  бесплатным и анонимным.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службе телефона доверия работают прошедшие специальную подготовку психологи-консультанты. Их главная задача — снять остроту психоэмоционального </w:t>
      </w:r>
      <w:r>
        <w:rPr>
          <w:rFonts w:ascii="Times New Roman" w:hAnsi="Times New Roman" w:cs="Times New Roman"/>
          <w:sz w:val="26"/>
          <w:szCs w:val="26"/>
        </w:rPr>
        <w:lastRenderedPageBreak/>
        <w:t>напряжения, переживаний, которые испытывает звонящий в данный момент, и уберечь юного или взрослого собеседника от опрометчивых и опасных поступков.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Как видно из таблицы № 1 в 2018 году произошло сокращение обращений на Единый телефон доверия по суицидальной тематики как от несовершеннолетних (с 42 до 20), так и от взрослых (с 22 до 9). Основные вопросы и у детей и у взрослых связаны с суицидальными мыслями. </w:t>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1</w:t>
      </w:r>
    </w:p>
    <w:p>
      <w:pPr>
        <w:spacing w:line="360" w:lineRule="auto"/>
        <w:ind w:firstLine="709"/>
        <w:contextualSpacing/>
        <w:jc w:val="both"/>
        <w:rPr>
          <w:rFonts w:ascii="Times New Roman" w:hAnsi="Times New Roman" w:cs="Times New Roman"/>
          <w:sz w:val="26"/>
          <w:szCs w:val="26"/>
        </w:rPr>
      </w:pPr>
    </w:p>
    <w:p>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Статистика обращений на телефон доверия по суицидальной тематике в Калужской области</w:t>
      </w:r>
    </w:p>
    <w:p>
      <w:pPr>
        <w:spacing w:line="360" w:lineRule="auto"/>
        <w:contextualSpacing/>
        <w:jc w:val="center"/>
        <w:rPr>
          <w:rFonts w:ascii="Times New Roman" w:hAnsi="Times New Roman" w:cs="Times New Roman"/>
          <w:b/>
          <w:sz w:val="26"/>
          <w:szCs w:val="26"/>
        </w:rPr>
      </w:pPr>
    </w:p>
    <w:tbl>
      <w:tblPr>
        <w:tblW w:w="9938" w:type="dxa"/>
        <w:tblInd w:w="93" w:type="dxa"/>
        <w:shd w:val="clear" w:color="auto" w:fill="FFFFFF" w:themeFill="background1"/>
        <w:tblLook w:val="04A0" w:firstRow="1" w:lastRow="0" w:firstColumn="1" w:lastColumn="0" w:noHBand="0" w:noVBand="1"/>
      </w:tblPr>
      <w:tblGrid>
        <w:gridCol w:w="620"/>
        <w:gridCol w:w="2797"/>
        <w:gridCol w:w="1701"/>
        <w:gridCol w:w="1615"/>
        <w:gridCol w:w="1701"/>
        <w:gridCol w:w="1504"/>
      </w:tblGrid>
      <w:tr>
        <w:trPr>
          <w:trHeight w:val="570"/>
        </w:trPr>
        <w:tc>
          <w:tcPr>
            <w:tcW w:w="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п/п</w:t>
            </w:r>
          </w:p>
        </w:tc>
        <w:tc>
          <w:tcPr>
            <w:tcW w:w="2797" w:type="dxa"/>
            <w:vMerge w:val="restart"/>
            <w:tcBorders>
              <w:top w:val="single" w:sz="4" w:space="0" w:color="auto"/>
              <w:left w:val="single" w:sz="4" w:space="0" w:color="auto"/>
              <w:bottom w:val="single" w:sz="4" w:space="0" w:color="auto"/>
              <w:right w:val="single" w:sz="8" w:space="0" w:color="auto"/>
            </w:tcBorders>
            <w:shd w:val="clear" w:color="auto" w:fill="FFFFFF" w:themeFill="background1"/>
            <w:vAlign w:val="center"/>
          </w:tcPr>
          <w:p>
            <w:pPr>
              <w:spacing w:line="240" w:lineRule="auto"/>
              <w:contextualSpacing/>
              <w:outlineLvl w:val="0"/>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Тематика обращений</w:t>
            </w:r>
          </w:p>
        </w:tc>
        <w:tc>
          <w:tcPr>
            <w:tcW w:w="3316"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Поступило обращений на телефон доверия  от детей и подростков</w:t>
            </w:r>
          </w:p>
        </w:tc>
        <w:tc>
          <w:tcPr>
            <w:tcW w:w="3205"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tcPr>
          <w:p>
            <w:pPr>
              <w:spacing w:line="240" w:lineRule="auto"/>
              <w:contextualSpacing/>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Поступило обращений на телефон доверия  от  родителей детей и подростков (лиц их заменяющих) и от иных граждан</w:t>
            </w:r>
          </w:p>
        </w:tc>
      </w:tr>
      <w:tr>
        <w:trPr>
          <w:trHeight w:val="570"/>
        </w:trPr>
        <w:tc>
          <w:tcPr>
            <w:tcW w:w="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p>
        </w:tc>
        <w:tc>
          <w:tcPr>
            <w:tcW w:w="2797" w:type="dxa"/>
            <w:vMerge/>
            <w:tcBorders>
              <w:top w:val="single" w:sz="4" w:space="0" w:color="auto"/>
              <w:left w:val="single" w:sz="4" w:space="0" w:color="auto"/>
              <w:bottom w:val="single" w:sz="4" w:space="0" w:color="auto"/>
              <w:right w:val="single" w:sz="8" w:space="0" w:color="auto"/>
            </w:tcBorders>
            <w:shd w:val="clear" w:color="auto" w:fill="FFFFFF" w:themeFill="background1"/>
            <w:vAlign w:val="center"/>
          </w:tcPr>
          <w:p>
            <w:pPr>
              <w:spacing w:line="240" w:lineRule="auto"/>
              <w:contextualSpacing/>
              <w:outlineLvl w:val="0"/>
              <w:rPr>
                <w:rFonts w:ascii="Times New Roman" w:eastAsia="Times New Roman" w:hAnsi="Times New Roman" w:cs="Times New Roman"/>
                <w:color w:val="000000"/>
                <w:sz w:val="26"/>
                <w:szCs w:val="26"/>
                <w:lang w:eastAsia="ru-R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2017 год</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2018 год</w:t>
            </w:r>
          </w:p>
        </w:tc>
        <w:tc>
          <w:tcPr>
            <w:tcW w:w="1701" w:type="dxa"/>
            <w:tcBorders>
              <w:top w:val="single" w:sz="4" w:space="0" w:color="auto"/>
              <w:left w:val="single" w:sz="8" w:space="0" w:color="auto"/>
              <w:bottom w:val="single" w:sz="8" w:space="0" w:color="000000"/>
              <w:right w:val="single" w:sz="8"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2017 год</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2018 год</w:t>
            </w:r>
          </w:p>
        </w:tc>
      </w:tr>
      <w:tr>
        <w:trPr>
          <w:trHeight w:val="570"/>
        </w:trPr>
        <w:tc>
          <w:tcPr>
            <w:tcW w:w="620" w:type="dxa"/>
            <w:tcBorders>
              <w:top w:val="single" w:sz="4" w:space="0" w:color="auto"/>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797" w:type="dxa"/>
            <w:tcBorders>
              <w:top w:val="single" w:sz="4" w:space="0" w:color="auto"/>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Суицидальные мысли</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16</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r>
      <w:tr>
        <w:trPr>
          <w:trHeight w:val="555"/>
        </w:trPr>
        <w:tc>
          <w:tcPr>
            <w:tcW w:w="620" w:type="dxa"/>
            <w:tcBorders>
              <w:top w:val="nil"/>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Суицидальные намерения</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r>
      <w:tr>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Принятое решение</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Текущий суицид</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trPr>
          <w:trHeight w:val="480"/>
        </w:trPr>
        <w:tc>
          <w:tcPr>
            <w:tcW w:w="620" w:type="dxa"/>
            <w:tcBorders>
              <w:top w:val="nil"/>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Состояние после суицидальной попытки</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trPr>
          <w:trHeight w:val="330"/>
        </w:trPr>
        <w:tc>
          <w:tcPr>
            <w:tcW w:w="620" w:type="dxa"/>
            <w:tcBorders>
              <w:top w:val="nil"/>
              <w:left w:val="single" w:sz="8" w:space="0" w:color="000000"/>
              <w:bottom w:val="single" w:sz="8" w:space="0" w:color="000000"/>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797" w:type="dxa"/>
            <w:tcBorders>
              <w:top w:val="nil"/>
              <w:left w:val="single" w:sz="8" w:space="0" w:color="000000"/>
              <w:bottom w:val="single" w:sz="8" w:space="0" w:color="000000"/>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Самоповреждения</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1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1701" w:type="dxa"/>
            <w:tcBorders>
              <w:top w:val="nil"/>
              <w:left w:val="single" w:sz="8" w:space="0" w:color="auto"/>
              <w:bottom w:val="single" w:sz="8" w:space="0" w:color="000000"/>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c>
          <w:tcPr>
            <w:tcW w:w="150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r>
        <w:trPr>
          <w:trHeight w:val="615"/>
        </w:trPr>
        <w:tc>
          <w:tcPr>
            <w:tcW w:w="620" w:type="dxa"/>
            <w:tcBorders>
              <w:top w:val="nil"/>
              <w:left w:val="single" w:sz="8" w:space="0" w:color="000000"/>
              <w:bottom w:val="single" w:sz="4" w:space="0" w:color="auto"/>
              <w:right w:val="nil"/>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797" w:type="dxa"/>
            <w:tcBorders>
              <w:top w:val="nil"/>
              <w:left w:val="single" w:sz="8" w:space="0" w:color="000000"/>
              <w:bottom w:val="single" w:sz="4" w:space="0" w:color="auto"/>
              <w:right w:val="single" w:sz="8" w:space="0" w:color="auto"/>
            </w:tcBorders>
            <w:shd w:val="clear" w:color="auto" w:fill="FFFFFF" w:themeFill="background1"/>
            <w:vAlign w:val="center"/>
            <w:hideMark/>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Другие вопросы по суицидальной теме</w:t>
            </w:r>
          </w:p>
        </w:tc>
        <w:tc>
          <w:tcPr>
            <w:tcW w:w="1701"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14</w:t>
            </w:r>
          </w:p>
        </w:tc>
        <w:tc>
          <w:tcPr>
            <w:tcW w:w="1615"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1701" w:type="dxa"/>
            <w:tcBorders>
              <w:top w:val="nil"/>
              <w:left w:val="single" w:sz="8" w:space="0" w:color="auto"/>
              <w:bottom w:val="single" w:sz="4"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1504"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r>
      <w:tr>
        <w:trPr>
          <w:trHeight w:val="615"/>
        </w:trPr>
        <w:tc>
          <w:tcPr>
            <w:tcW w:w="3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Всего обращений по суицидальной тематике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42</w:t>
            </w:r>
          </w:p>
        </w:tc>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22</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spacing w:line="240" w:lineRule="auto"/>
              <w:contextualSpacing/>
              <w:jc w:val="center"/>
              <w:outlineLvl w:val="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r>
    </w:tbl>
    <w:p>
      <w:pPr>
        <w:spacing w:line="240" w:lineRule="auto"/>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Для предотвращения подростковых суицидов в Калужской области проводится комплекс профилактических мероприятий регионального и муниципального уровней.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Работа по профилактике суицидов несовершеннолетних в образовательных организациях Калужской области ведется согласно методическим рекомендациям по профилактике суицидального поведения детей и подростков (письмо Министерства образования и науки Российской Федерации от 18.01.2016 № 07-149).</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системе образования Калужской области профилактическая работа охватывает все уровни: региональный, муниципальный и уровень образовательных организаций.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Одним из направлений работы по предотвращению суицидов на региональном уровне является развитие системы психолого-педагогического сопровождения образовательной деятельности, представляющей собой целостную многоуровневую структуру, которая включает в себя педагогов-психологов, социальных педагогов, учителей логопедов, дефектологов и психологические службы образовательных организаций различных организационно-правовых форм, психолого-медико-педагогические комиссии и консилиумы, педагогов-психологов методических центров, муниципальные методические объединения специалистов, центры психолого-педагогической и медико-социальной помощи.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Координатором работы по осуществлению профилактических мер, направленных на предупреждение детских суицидов является Центр психологического сопровождения образовательной деятельности ГАОУ ДПО «Калужский государственный институт развития образования», деятельность которого направлена на повышение уровня профессиональной компетентности специалистов образовательных организаций и обеспечение научно-методической поддержки их деятельности.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Муниципальные центры психолого-медико-педагогической помощи оказывают непосредственную помощь детям и подросткам, склонным к суицидальному поведению, и их семьям, обеспечивают взаимодействие с учреждениями здравоохранения, организуют и проводят работу с обучающими в форме тренингов в целях формирования устойчивого поведения.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уровне образовательных организаций профилактика суицидального поведения среди обучающихся входит в число программ психолого-педагогического сопровождения, формирования безопасного и здорового образа жизни, воспитания и социализации.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сократилось количество детей погибших на пожарах, 6 детей в 2017 году, 2 детей в 2018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Основные причины пожаров – нарушение правил пожарной безопасности при эксплуатации печей, электроприборов, недостаток конструкции и изготовления электрооборудования, неосторожность при курении.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2017 году наибольшее количество  погибших (4) составляют дети в возрасте до 3 лет, в 2018 году оба погибших ребенка старше 14 лет.</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декабре 2018 года ВДПО Калужской области совместно с ГУ МЧС России по Калужской области при содействии Уполномоченного с целью профилактики пожаров и возгораний в семьях, относящихся к категории социального риска, проведена акция «Сохрани жизнь себе и своему ребенку». В ходе акции проведены обходы жилых помещений частного сектора, в которых проживают многодетные семьи. При обходах определялось пожарная безопасность жилья, выявлялась необходимость проведения ремонта печного, газового оборудования и электросетей, проводилась разъяснительная работа. Также многодетные семьи бесплатно получили автономные пожарные извещатели.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 2017 год произошло 250 ДТП с участием несовершеннолетних, в результате которых 10 детей погибли и 281 несовершеннолетний пострадал. В 2018 году произошло 211 ДТП с участием несовершеннолетних, 11 погибло, 234 ребенка пострадало.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Рост количества детского травматизма произошел на территориях обслуживания МОМВД России «Бабынинский», «Кировский», «Козельский», «Юхновский», ОМВД России по Дзержинскому району, Малоярославецкому району.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 отчетный период наблюдается тенденция снижения ДТП по вине детей. По собственной неосторожности несовершеннолетних зарегистрировано 27 ДТП, в которых 2 ребенка погибли, 26 – получили ранения. Основными нарушениями со стороны детей явились нарушения, связанные с переходом проезжей части дороги.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отчетном периоде с участием детей-пассажиров в возрасте до 16 лет  зарегистрировано 82 ДТП, что составило 47,6% от общего количества ДТП с участием несовершеннолетних, в которых 5 детей погибли и 97 детей получили ранения различной степени тяжести.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возрасте до 12 лет  зарегистрировано 57 ДТП, что составило  33,1% от количества ДТП с участием детей-пассажиров, в которых 4 ребенка погибли и  63 ребенка получили ранения.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Зарегистрировано 9 ДТП, в которых водители нарушили правила перевозки детей (не использовали ремни безопасности либо ДУУ), в результате чего 11 детей получили  ранения.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участием детей-пешеходов зарегистрировано 75 ДТП, что составляет 43,6% от общего количества ДТП с детьми, в которых 74 ребенка получили ранения.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 пешеходных переходах зарегистрировано 28 ДТП, в результате которых 28 человек  получили ранения.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В темное время суток зарегистрировано 12 ДТП. В 7 ДТП на одежде детей отсутствовали световозвращающие элементы.</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участием детей, управляющих транспортными средствами (мотоцикл, скутер)  зарегистрировано 3 ДТП, в результате которых 3 подростка получили ранения.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участием детей-велосипедистов зарегистрировано 11 ДТП, что составляет 6,3% от общего количества ДТП с детьми, в которых 11 детей получили ранения , погибших нет.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причине нарушений ПДД детьми-велосипедистами зарегистрировано 5 ДТП.</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в Калужской области на базе ГБУ ДО КО «Областной центр дополнительного образования детей им. Ю.А. Гагарина» в рамках реализации проекта «Лаборатория безопасности» продолжил успешно функционировать учебно-методический центр по профилактике детского дорожно-транспортного травматизма.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Специалистами центра разработана и реализуется краткосрочная образовательная программа по профилактике детского дорожно-транспортного травматизма «Лаборатория безопасности» для детей 5-8 лет, 9-13 лет и 14-16 лет с учетом особенностей каждой из возрастных категорий.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Педагогами центра совместно с сотрудниками отделения пропаганды госавтоинспекции УМВД России по Калужской области с использованием возможностей специального оборудованного автомобиля «Лаборатория безопасности» проведены обучающие занятия с детьми, посещавшими летнюю площадку при ГБУ ДО КО «Областной центр дополнительного образования детей им. Ю.А. Гагарина» и находящихся в летних оздоровительных лагерях Калужской области (всего 1039 участников), а также выездные занятия в образовательных организациях муниципальных районов и городских округов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Новые подходы в обучении детей правилам безопасного поведения связаны с возможностью проведения обучающих мероприятий не только для обучающихся, но и для педагогических работников.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Итогом проведения обучающих семинаров для педагогических работников стало заключение договоров о взаимном сотрудничестве между учебно-методическим центром и муниципальными образовательными организациями.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одним из новых подходов к систематизации работы по профилактике детского дорожно-транспортного травматизма в муниципальных образованиях региона стало решение о создании на базе образовательных организаций муниципальных опорных площадок.</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Деятельность учебно-методического центра и муниципальных опорных площадок направлена на достижение результатов, указанных в Плане совместной деятельности министерства образования и науки Калужской области и Управления Государственной инспекции безопасности дорожного движения УМВД России по Калужской области по профилактике детского дорожно-транспортного травматизма на 2018/19 учебный год:</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увеличение доли образовательных организаций, в которых созданы отряды ЮИД;</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увеличение доли образовательных организаций, работающих по дополнительным общеобразовательным программам по профилактике детского дорожно-транспортного травматизма;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увеличение доли детей в возрасте 5-16 лет, обученных по программе «Лаборатория безопасности»;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увеличение доли детей в возрасте 7 – 17 лет, участвующих в региональных этапах конкурсов, областных олимпиад, выставках, акциях и других мероприятиях по профилактике детского дорожно-транспортного травматизма.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Несмотря на сокращение количества детской смертности, необходимо продолжать развивать систему профилактических мероприятий направленных на предотвращение смертей несовершеннолетних, разрабатывать новые методы и методики, которые позволят обеспечить безопасность детей. И данная работа должна проводиться и с детьми и с их родителями, так как безопасность ребенка, особенно малолетнего, зависит от взрослых.</w:t>
      </w: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pStyle w:val="aa"/>
        <w:suppressLineNumbers/>
        <w:suppressAutoHyphens/>
        <w:ind w:left="0" w:right="-284"/>
        <w:jc w:val="center"/>
        <w:rPr>
          <w:rFonts w:cs="Times New Roman"/>
          <w:b/>
          <w:szCs w:val="26"/>
        </w:rPr>
      </w:pPr>
      <w:r>
        <w:rPr>
          <w:rFonts w:cs="Times New Roman"/>
          <w:b/>
          <w:szCs w:val="26"/>
        </w:rPr>
        <w:lastRenderedPageBreak/>
        <w:t>2.2. ПРАВО РЕБЕНКА НА СЕМЬЮ</w:t>
      </w:r>
    </w:p>
    <w:p>
      <w:pPr>
        <w:pStyle w:val="aa"/>
        <w:suppressLineNumbers/>
        <w:suppressAutoHyphens/>
        <w:ind w:left="0" w:right="-284" w:firstLine="709"/>
        <w:jc w:val="center"/>
        <w:rPr>
          <w:rFonts w:cs="Times New Roman"/>
          <w:szCs w:val="26"/>
        </w:rPr>
      </w:pPr>
    </w:p>
    <w:p>
      <w:pPr>
        <w:pStyle w:val="aa"/>
        <w:suppressLineNumbers/>
        <w:suppressAutoHyphens/>
        <w:spacing w:line="360" w:lineRule="auto"/>
        <w:ind w:left="0" w:right="-284" w:firstLine="709"/>
        <w:jc w:val="both"/>
        <w:rPr>
          <w:rFonts w:cs="Times New Roman"/>
          <w:szCs w:val="26"/>
        </w:rPr>
      </w:pPr>
      <w:r>
        <w:rPr>
          <w:rFonts w:cs="Times New Roman"/>
          <w:szCs w:val="26"/>
        </w:rPr>
        <w:t xml:space="preserve">Согласно ст. 16 Всеобщей декларации прав человека семья признается основной ячейкой общества, обеспеченной правом на защиту со стороны государства. Государственно-правовая охрана семьи и прав детей, проживающих в семьях, в нашей стране строится на международных принципах права, положениях Конституции Российской Федерации и нормах Семейного кодекса Российской Федерации, которые регламентируют права и обязанности детей и родителей. Приоритетными направлениями государственной семейной политики в соответствии с Концепцией государственной семейной политики в Российской Федерации на период до 2025 года является сохранение традиционных семейных ценностей и семейного образа жизни, возрождение и сохранение духовно-нравственных традиций в семейных отношениях и воспитании. Конечно,  </w:t>
      </w:r>
      <w:r>
        <w:rPr>
          <w:rFonts w:eastAsia="Calibri" w:cs="Times New Roman"/>
          <w:szCs w:val="26"/>
        </w:rPr>
        <w:t xml:space="preserve">семья - это школа отношений с людьми. Общение в семье влияет на формирование мировоззрения ребенка, позволяет ему вырабатывать собственные нормы, взгляды, идеи, </w:t>
      </w:r>
      <w:r>
        <w:rPr>
          <w:rFonts w:cs="Times New Roman"/>
          <w:szCs w:val="26"/>
        </w:rPr>
        <w:t>в связи с чем одними из самых важных прав ребенка являются право жить и воспитываться в семье,</w:t>
      </w:r>
      <w:r>
        <w:rPr>
          <w:rFonts w:cs="Times New Roman"/>
          <w:color w:val="000000"/>
          <w:szCs w:val="26"/>
        </w:rPr>
        <w:t xml:space="preserve"> право знать своих родителей, право на их заботу, право на совместное с ними проживание</w:t>
      </w:r>
      <w:r>
        <w:rPr>
          <w:rFonts w:cs="Times New Roman"/>
          <w:szCs w:val="26"/>
        </w:rPr>
        <w:t>, предусмотренные Семейным кодексом Российской Федерации.</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К сожалению, далеко не все дети в Калужской области проживают в полных семьях, что является неблагоприятным фактором и может негативно влиять на защиту прав детей.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п. 2 ст. 20 Гражданского кодекса Российской Федерации местом жительства несовершеннолетних, не достигших 14 лет установлено место жительства их законных представителей – родителей, усыновителей или опекунов. Место жительства ребенка при раздельном проживании родителей определяется соглашением родителей. При отсутствии такого соглашения спор разрешается в судебном порядке. </w:t>
      </w:r>
    </w:p>
    <w:p>
      <w:pPr>
        <w:suppressLineNumbers/>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обратился гражданин П. с просьбой оказать содействие в определении места жительства детей с ним и в подготовке искового заявления для обращения в суд. </w:t>
      </w:r>
    </w:p>
    <w:p>
      <w:pPr>
        <w:suppressLineNumbers/>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Учитывая, что дети гражданина П.  проживают с отцом, а мать фактически не занимается воспитанием детей, и действуя в интересах детей заявителя, Уполномоченным подготовлено соответствующее исковое заявление, требования которого впоследствии были удовлетворены судом.</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раздельном проживании является гарантом защиты ребенка и обеспечением его </w:t>
      </w:r>
      <w:r>
        <w:rPr>
          <w:rFonts w:ascii="Times New Roman" w:hAnsi="Times New Roman" w:cs="Times New Roman"/>
          <w:sz w:val="26"/>
          <w:szCs w:val="26"/>
        </w:rPr>
        <w:lastRenderedPageBreak/>
        <w:t>стабильного развития. В иных случаях результатом отсутствия согласия родителей по вопросам воспитания ребенка является затяжные конфликты, которые могут впоследствии приводить к травмированию психического состояния ребенка.</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Огромной проблемой семейных отношений как в целом по России, так и в Калужской области является большое количество разводов. При этом в области уровень разводов ниже, чем в среднем по России. По данным статистики в области за первый год брака происходит 6% всех разводов, за первые четыре года – 43%, а за 9 лет – 68% от их общего числа. Так, в 2018 году в Калужской области общее число браков составило 7 297, в том числе 34 – с участием несовершеннолетних, а разводов – 4 582, при этом развод с участием несовершеннолетних зарегистрирован один. Наряду с уменьшением количества разводов в области снижается и общее количество браков. Очевидным следствием этого является остающимся стабильным количество детей, рожденных вне брака. Сегодня их количество составляет – 2 101 ребенок, это 20,1% от общего числа новорожденных. В  1 023 случаях отцовство устанавливалось одновременно с государственной регистрацией рождения ребенка. Такие высокие показатели внебрачной рождаемости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является биологическим отцом детей.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обратилась гражданка З. с просьбой оказать содействие в установлении факта признания отцовства.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У гражданки З. трое несовершеннолетних детей, биологическим отцом которых является её погибший супруг. Однако, брак с отцом детей был заключен уже после рождения всех детей, а отцовство детей надлежащим образом не оформили по причине решения вопросов переезда в Россию и обустройства детей.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Установление факта признания отцовства необходимо гражданке З. для назначения и выплаты пенсии по потере кормильца и иных мер социальной поддержки семей с детьми.</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Действуя в интересах детей заявителя, Уполномоченным подготовлено соответствующее исковое заявление, требования которого впоследствии были удовлетворены судом.</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области за 2018 год более чем на 28 % сократилось число беременных несовершеннолетних, практически на половину уменьшилась численность родивших </w:t>
      </w:r>
      <w:r>
        <w:rPr>
          <w:rFonts w:ascii="Times New Roman" w:hAnsi="Times New Roman" w:cs="Times New Roman"/>
          <w:sz w:val="26"/>
          <w:szCs w:val="26"/>
        </w:rPr>
        <w:lastRenderedPageBreak/>
        <w:t>несовершеннолетних, при этом 43 несовершеннолетних в возрасте 15 – 17 лет совершили аборты, а в возрасте до 14 лет – 1 несовершеннолетний.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результате активной совместной работы органов здравоохранения и социальной защиты за последние два года значительно сократилось число отказов от новорожденных детей. В 2018 году все 20 отказавшихся от новорожденных детей являлись матерями-одиночками, не было ни одного случая отказа от новорожденных детей среди несовершеннолетних матерей.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течение 2018 года в адрес Уполномоченного поступило 6 обращений от семей, оказавшихся в трудной жизненной ситуации.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Уполномоченному обратилась гражданка К., воспитывающая несовершеннолетнего ребенка и находящаяся в Центре помощи </w:t>
      </w:r>
      <w:r>
        <w:rPr>
          <w:rFonts w:ascii="Times New Roman" w:eastAsia="Calibri" w:hAnsi="Times New Roman" w:cs="Times New Roman"/>
          <w:sz w:val="26"/>
          <w:szCs w:val="26"/>
        </w:rPr>
        <w:t>кризисным беременным женщинам и женщинам, оказавшимся в трудной жизненной ситуации</w:t>
      </w:r>
      <w:r>
        <w:rPr>
          <w:rFonts w:ascii="Times New Roman" w:hAnsi="Times New Roman" w:cs="Times New Roman"/>
          <w:sz w:val="26"/>
          <w:szCs w:val="26"/>
        </w:rPr>
        <w:t>, с просьбой оказать содействие в трудоустройстве. Ситуация с трудоустройством осложнена тем, что у гражданки К. отсутствует образование.</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Учитывая, что гражданка К. находится в трудной жизненной ситуации, действуя в интересах детей заявителя, Уполномоченным направлено письмо в министерство труда и социальной защиты Калужской области с просьбой рассмотреть возможность оказания содействия гражданке К. в трудоустройстве.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Гражданка К. была приглашена в ГКУ «ЦЗН города Калуги» и зарегистрирована в целях поиска подходящей работы. За период состояния на регистрационном учете гражданка К., в соответствии с её пожеланиями и имеющимися навыками работы,  предложено четыре варианта трудоустройства.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Отдельного рассмотрения требует такой вопрос, как брак с иностранным гражданином. По данным Управления ЗАГС по Калужской области, в 2018 году сохраняется устойчивая тенденция увеличения количества актов о заключении брака с иностранными гражданами. Так, за прошедший год в регионе было зарегистрировано 1 329 актов о заключении брака с иностранными гражданами, что больше на 290 актов, чем в 2017 году.</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2018 году за юридической консультацией по разрешению семейного спора в части определения места жительства детей, процедуре возвращения детей в Российскую Федерацию обращалась гражданка Российской Федерации, ранее состоящая в браке с гражданином Азербайджана. Бывший супруг заявителя забрал детей в Азербайджан и </w:t>
      </w:r>
      <w:r>
        <w:rPr>
          <w:rFonts w:ascii="Times New Roman" w:eastAsia="Times New Roman" w:hAnsi="Times New Roman" w:cs="Times New Roman"/>
          <w:sz w:val="26"/>
          <w:szCs w:val="26"/>
          <w:lang w:eastAsia="ru-RU"/>
        </w:rPr>
        <w:lastRenderedPageBreak/>
        <w:t>отказывался возвращать их матери. Согласно судебному решению место жительства двоих несовершеннолетних детей определено с матерью. Определением судебной коллегии по гражданским делам Калужского областного суда указанное решение оставлено без изменений. Однако отец детей не пожелал исполнять судебное решение. В связи с чем, Уполномоченным направлены запросы в адреса Департамента государственной политики в сфере защиты прав детей и консульского отдела Посольства Российской Федерации в Республике Азербайджан. В адрес заявителя даны рекомендации по обращению в Министерство юстиции Российской Федерации, с просьбой о направлении в Министерство юстиции Азербайджана соответствующего ходатайства об исполнении судебного решения на территории Азербайджана.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Особенностью правового регулирования данных вопросов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рассмотреть вопрос об оказании консультационной помощи молодоженам по вопросу особенностей правового регламентирования семейных отношений при регистрации браков граждан Российской Федерации с иностранными гражданами.</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Защита прав и законных интересов детей является первостепенной задачей государства, в связи с чем нарушения имущественных прав несовершеннолетних, в том числе ненадлежащее исполнение родителями алиментных обязательств в отношении несовершеннолетних детей, находится на контроле Уполномоченного.</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По данным Управления Федеральной службы судебных приставов по Калужской области, в 2018 году на принудительном исполнении находилось 12 284 исполнительных производств о взыскании алиментов, что на 112 производств больше, чем в 2017 году.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Анализ данных по исполнительным производствам отражен в таблице № 2.</w:t>
      </w:r>
    </w:p>
    <w:p>
      <w:pPr>
        <w:suppressAutoHyphens/>
        <w:spacing w:after="0" w:line="240" w:lineRule="auto"/>
        <w:ind w:right="-284" w:firstLine="709"/>
        <w:contextualSpacing/>
        <w:jc w:val="right"/>
        <w:rPr>
          <w:rFonts w:ascii="Times New Roman" w:hAnsi="Times New Roman" w:cs="Times New Roman"/>
          <w:b/>
          <w:i/>
          <w:sz w:val="26"/>
          <w:szCs w:val="26"/>
        </w:rPr>
      </w:pPr>
      <w:r>
        <w:rPr>
          <w:rFonts w:ascii="Times New Roman" w:hAnsi="Times New Roman" w:cs="Times New Roman"/>
          <w:b/>
          <w:i/>
          <w:sz w:val="26"/>
          <w:szCs w:val="26"/>
        </w:rPr>
        <w:lastRenderedPageBreak/>
        <w:t>Таблица № 2</w:t>
      </w:r>
    </w:p>
    <w:p>
      <w:pPr>
        <w:suppressAutoHyphens/>
        <w:spacing w:after="0" w:line="240" w:lineRule="auto"/>
        <w:ind w:right="-284"/>
        <w:contextualSpacing/>
        <w:jc w:val="center"/>
        <w:rPr>
          <w:rFonts w:ascii="Times New Roman" w:hAnsi="Times New Roman" w:cs="Times New Roman"/>
          <w:sz w:val="26"/>
          <w:szCs w:val="26"/>
        </w:rPr>
      </w:pPr>
    </w:p>
    <w:p>
      <w:pPr>
        <w:suppressAutoHyphens/>
        <w:spacing w:after="0" w:line="240" w:lineRule="auto"/>
        <w:ind w:right="-284"/>
        <w:contextualSpacing/>
        <w:jc w:val="center"/>
        <w:rPr>
          <w:rFonts w:ascii="Times New Roman" w:hAnsi="Times New Roman" w:cs="Times New Roman"/>
          <w:b/>
          <w:sz w:val="26"/>
          <w:szCs w:val="26"/>
        </w:rPr>
      </w:pPr>
      <w:r>
        <w:rPr>
          <w:rFonts w:ascii="Times New Roman" w:hAnsi="Times New Roman" w:cs="Times New Roman"/>
          <w:b/>
          <w:sz w:val="26"/>
          <w:szCs w:val="26"/>
        </w:rPr>
        <w:t>Сведения по исполнительным производствам</w:t>
      </w:r>
    </w:p>
    <w:p>
      <w:pPr>
        <w:suppressAutoHyphens/>
        <w:spacing w:after="0" w:line="240" w:lineRule="auto"/>
        <w:ind w:right="-284"/>
        <w:contextualSpacing/>
        <w:jc w:val="center"/>
        <w:rPr>
          <w:rFonts w:ascii="Times New Roman" w:hAnsi="Times New Roman" w:cs="Times New Roman"/>
          <w:b/>
          <w:sz w:val="26"/>
          <w:szCs w:val="26"/>
        </w:rPr>
      </w:pPr>
    </w:p>
    <w:tbl>
      <w:tblPr>
        <w:tblW w:w="10216" w:type="dxa"/>
        <w:tblLayout w:type="fixed"/>
        <w:tblCellMar>
          <w:left w:w="10" w:type="dxa"/>
          <w:right w:w="10" w:type="dxa"/>
        </w:tblCellMar>
        <w:tblLook w:val="0000" w:firstRow="0" w:lastRow="0" w:firstColumn="0" w:lastColumn="0" w:noHBand="0" w:noVBand="0"/>
      </w:tblPr>
      <w:tblGrid>
        <w:gridCol w:w="861"/>
        <w:gridCol w:w="6237"/>
        <w:gridCol w:w="1559"/>
        <w:gridCol w:w="1559"/>
      </w:tblGrid>
      <w:tr>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ind w:right="-284"/>
              <w:contextualSpacing/>
              <w:jc w:val="both"/>
              <w:rPr>
                <w:rFonts w:ascii="Times New Roman" w:eastAsia="Arial Unicode MS" w:hAnsi="Times New Roman" w:cs="Times New Roman"/>
                <w:b/>
                <w:sz w:val="26"/>
                <w:szCs w:val="26"/>
              </w:rPr>
            </w:pPr>
            <w:r>
              <w:rPr>
                <w:rFonts w:ascii="Times New Roman" w:eastAsia="Arial Unicode MS" w:hAnsi="Times New Roman" w:cs="Times New Roman"/>
                <w:b/>
                <w:sz w:val="26"/>
                <w:szCs w:val="26"/>
              </w:rPr>
              <w:t>№ п/п</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ind w:right="132"/>
              <w:contextualSpacing/>
              <w:jc w:val="center"/>
              <w:rPr>
                <w:rFonts w:ascii="Times New Roman" w:eastAsia="Arial Unicode MS" w:hAnsi="Times New Roman" w:cs="Times New Roman"/>
                <w:b/>
                <w:sz w:val="26"/>
                <w:szCs w:val="26"/>
              </w:rPr>
            </w:pPr>
            <w:r>
              <w:rPr>
                <w:rFonts w:ascii="Times New Roman" w:eastAsia="Arial Unicode MS" w:hAnsi="Times New Roman" w:cs="Times New Roman"/>
                <w:b/>
                <w:sz w:val="26"/>
                <w:szCs w:val="26"/>
              </w:rPr>
              <w:t xml:space="preserve">Проведенная работа по исполнительным </w:t>
            </w:r>
          </w:p>
          <w:p>
            <w:pPr>
              <w:suppressAutoHyphens/>
              <w:spacing w:after="0" w:line="240" w:lineRule="auto"/>
              <w:ind w:right="132"/>
              <w:contextualSpacing/>
              <w:jc w:val="center"/>
              <w:rPr>
                <w:rFonts w:ascii="Times New Roman" w:eastAsia="Arial Unicode MS" w:hAnsi="Times New Roman" w:cs="Times New Roman"/>
                <w:b/>
                <w:sz w:val="26"/>
                <w:szCs w:val="26"/>
              </w:rPr>
            </w:pPr>
            <w:r>
              <w:rPr>
                <w:rFonts w:ascii="Times New Roman" w:eastAsia="Arial Unicode MS" w:hAnsi="Times New Roman" w:cs="Times New Roman"/>
                <w:b/>
                <w:sz w:val="26"/>
                <w:szCs w:val="26"/>
              </w:rPr>
              <w:t>производствам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284"/>
              <w:contextualSpacing/>
              <w:jc w:val="center"/>
              <w:rPr>
                <w:rFonts w:ascii="Times New Roman" w:eastAsia="Batang" w:hAnsi="Times New Roman" w:cs="Times New Roman"/>
                <w:b/>
                <w:sz w:val="26"/>
                <w:szCs w:val="26"/>
              </w:rPr>
            </w:pPr>
            <w:r>
              <w:rPr>
                <w:rFonts w:ascii="Times New Roman" w:eastAsia="Batang" w:hAnsi="Times New Roman" w:cs="Times New Roman"/>
                <w:b/>
                <w:sz w:val="26"/>
                <w:szCs w:val="26"/>
              </w:rPr>
              <w:t>2017 год</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284"/>
              <w:contextualSpacing/>
              <w:jc w:val="center"/>
              <w:rPr>
                <w:rFonts w:ascii="Times New Roman" w:eastAsia="Batang" w:hAnsi="Times New Roman" w:cs="Times New Roman"/>
                <w:b/>
                <w:sz w:val="26"/>
                <w:szCs w:val="26"/>
              </w:rPr>
            </w:pPr>
            <w:r>
              <w:rPr>
                <w:rFonts w:ascii="Times New Roman" w:eastAsia="Batang" w:hAnsi="Times New Roman" w:cs="Times New Roman"/>
                <w:b/>
                <w:sz w:val="26"/>
                <w:szCs w:val="26"/>
              </w:rPr>
              <w:t>2018 год</w:t>
            </w:r>
          </w:p>
        </w:tc>
      </w:tr>
      <w:tr>
        <w:trPr>
          <w:trHeight w:val="806"/>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left="132"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 xml:space="preserve">Количество </w:t>
            </w:r>
            <w:r>
              <w:rPr>
                <w:rFonts w:ascii="Times New Roman" w:hAnsi="Times New Roman" w:cs="Times New Roman"/>
                <w:sz w:val="26"/>
                <w:szCs w:val="26"/>
              </w:rPr>
              <w:t xml:space="preserve">оконченных и прекращенных </w:t>
            </w:r>
            <w:r>
              <w:rPr>
                <w:rFonts w:ascii="Times New Roman" w:eastAsia="Batang" w:hAnsi="Times New Roman" w:cs="Times New Roman"/>
                <w:sz w:val="26"/>
                <w:szCs w:val="26"/>
              </w:rPr>
              <w:t>исполнительных производств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5 260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5 428</w:t>
            </w:r>
          </w:p>
        </w:tc>
      </w:tr>
      <w:tr>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left="132"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Из них: оконченных фактическим исполнением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632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540</w:t>
            </w:r>
          </w:p>
        </w:tc>
      </w:tr>
      <w:tr>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left="132"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Количество должников по алиментным обязательствам, объявленных в розыск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784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790</w:t>
            </w:r>
          </w:p>
        </w:tc>
      </w:tr>
      <w:tr>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left="132"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Количество исполнительных производств, по которым в отношении должников возбуждены уголовные дела по ст.157 УК РФ</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429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486</w:t>
            </w:r>
          </w:p>
        </w:tc>
      </w:tr>
      <w:tr>
        <w:trPr>
          <w:trHeight w:val="542"/>
        </w:trPr>
        <w:tc>
          <w:tcPr>
            <w:tcW w:w="861" w:type="dxa"/>
            <w:tcBorders>
              <w:top w:val="single" w:sz="4" w:space="0" w:color="auto"/>
              <w:left w:val="single" w:sz="4" w:space="0" w:color="auto"/>
              <w:bottom w:val="single" w:sz="4" w:space="0" w:color="auto"/>
              <w:right w:val="single" w:sz="4" w:space="0" w:color="auto"/>
            </w:tcBorders>
            <w:shd w:val="clear" w:color="auto" w:fill="FFFFFF"/>
          </w:tcPr>
          <w:p>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left="132" w:right="132"/>
              <w:contextualSpacing/>
              <w:jc w:val="both"/>
              <w:rPr>
                <w:rFonts w:ascii="Times New Roman" w:eastAsia="Batang" w:hAnsi="Times New Roman" w:cs="Times New Roman"/>
                <w:sz w:val="26"/>
                <w:szCs w:val="26"/>
              </w:rPr>
            </w:pPr>
            <w:r>
              <w:rPr>
                <w:rFonts w:ascii="Times New Roman" w:eastAsia="Batang" w:hAnsi="Times New Roman" w:cs="Times New Roman"/>
                <w:sz w:val="26"/>
                <w:szCs w:val="26"/>
              </w:rPr>
              <w:t>Количество лиц, привлеченных к административной ответственности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ind w:right="-10"/>
              <w:contextualSpacing/>
              <w:jc w:val="center"/>
              <w:rPr>
                <w:rFonts w:ascii="Times New Roman" w:hAnsi="Times New Roman" w:cs="Times New Roman"/>
                <w:sz w:val="26"/>
                <w:szCs w:val="26"/>
              </w:rPr>
            </w:pPr>
            <w:r>
              <w:rPr>
                <w:rFonts w:ascii="Times New Roman" w:hAnsi="Times New Roman" w:cs="Times New Roman"/>
                <w:sz w:val="26"/>
                <w:szCs w:val="26"/>
              </w:rPr>
              <w:t>Нет сведений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suppressAutoHyphens/>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888</w:t>
            </w:r>
          </w:p>
        </w:tc>
      </w:tr>
    </w:tbl>
    <w:p>
      <w:pPr>
        <w:suppressAutoHyphens/>
        <w:spacing w:after="0" w:line="240" w:lineRule="auto"/>
        <w:ind w:right="-284"/>
        <w:contextualSpacing/>
        <w:jc w:val="both"/>
        <w:rPr>
          <w:rFonts w:ascii="Times New Roman" w:eastAsia="Batang" w:hAnsi="Times New Roman" w:cs="Times New Roman"/>
          <w:sz w:val="26"/>
          <w:szCs w:val="26"/>
        </w:rPr>
      </w:pPr>
    </w:p>
    <w:p>
      <w:pPr>
        <w:suppressAutoHyphens/>
        <w:spacing w:after="0" w:line="360" w:lineRule="auto"/>
        <w:ind w:right="-284" w:firstLine="709"/>
        <w:contextualSpacing/>
        <w:jc w:val="both"/>
        <w:rPr>
          <w:rFonts w:ascii="Times New Roman" w:hAnsi="Times New Roman" w:cs="Times New Roman"/>
          <w:b/>
          <w:sz w:val="26"/>
          <w:szCs w:val="26"/>
        </w:rPr>
      </w:pPr>
      <w:r>
        <w:rPr>
          <w:rFonts w:ascii="Times New Roman" w:eastAsia="Batang" w:hAnsi="Times New Roman" w:cs="Times New Roman"/>
          <w:sz w:val="26"/>
          <w:szCs w:val="26"/>
        </w:rPr>
        <w:t xml:space="preserve">По </w:t>
      </w:r>
      <w:r>
        <w:rPr>
          <w:rFonts w:ascii="Times New Roman" w:hAnsi="Times New Roman" w:cs="Times New Roman"/>
          <w:sz w:val="26"/>
          <w:szCs w:val="26"/>
        </w:rPr>
        <w:t xml:space="preserve">1 014 </w:t>
      </w:r>
      <w:r>
        <w:rPr>
          <w:rFonts w:ascii="Times New Roman" w:eastAsia="Batang" w:hAnsi="Times New Roman" w:cs="Times New Roman"/>
          <w:sz w:val="26"/>
          <w:szCs w:val="26"/>
        </w:rPr>
        <w:t>исполнительным производствам продолжают проводиться мероприятия по привлечению должников к административной ответственности по ст. 5.35.1 Кодекса об административных правонарушениях Российской Федерации.</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Частично взысканная сумма по неоконченным исполнительным производствам по алиментам за 12 месяцев 2018 года составила 76 666 тыс. руб. (в 2017 году - 121 455              тыс. руб.)</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С целью взыскания задолженности по алиментам в 2018 году было произведено 875 арестов. По результатам проверок в порядке статей 144 – 145 Уголовно-процессуального кодекса Российской Федерации в отношении 486 должников были приняты решения о возбуждении уголовных дел по статье 157 Уголовного кодекса Российской Федерации. По итогам рассмотрения мировыми судьями Калужской области вынесено 394 обвинительных приговора и назначены следующие наказания:</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исправительные работы – 383;</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условное лишение свободы, в том числе с отсрочкой либо с  испытательным сроком – 1;</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лишение свободы - 8.</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связи с наличием непогашенной задолженности по алиментам и уклонения от исполнения требований по их взысканию по состоянию на 01.01.2019 в отношении 3 131 должника действовало ограничение права выезда за пределы Российской Федерации (на 01.01.2018 – 2 609), в отношении 2 310 должников вынесены постановления о временном ограничении на пользование транспортными средствами (на 01.01.2018 – 1 655). Эффективность применяемых мер подтверждается отменой  таких исполнительных </w:t>
      </w:r>
      <w:r>
        <w:rPr>
          <w:rFonts w:ascii="Times New Roman" w:hAnsi="Times New Roman" w:cs="Times New Roman"/>
          <w:sz w:val="26"/>
          <w:szCs w:val="26"/>
        </w:rPr>
        <w:lastRenderedPageBreak/>
        <w:t>производств по причине фактического исполнения требований – внесения должниками денежных средств.</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Вместе с тем в Калужской области остаток суммы задолженности по алиментам, подлежащей взысканию, по состоянию на 01.01.2019 составил 1 076 256 тыс. руб. (по состоянию на 01.01.2018 – 1 114 157 тыс. руб.).</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Низкая эффективность по исполнению исполнительных производств связана с тем, что </w:t>
      </w:r>
      <w:r>
        <w:rPr>
          <w:rFonts w:ascii="Times New Roman" w:eastAsia="Times New Roman" w:hAnsi="Times New Roman" w:cs="Times New Roman"/>
          <w:sz w:val="26"/>
          <w:szCs w:val="26"/>
          <w:lang w:eastAsia="ru-RU"/>
        </w:rPr>
        <w:t>значительное количество должников находится в розыске, у многих должников по алиментным обязательствам отсутствует постоянный заработок и постоянный доход. Учитывая специфику и периодический характер выплат, одним из основных способов исполнения требований исполнительного документа о взыскании алиментов является трудоустройство должников и направление копии исполнительного документа для производства удержания из их заработной платы. В связи с этим, структурными подразделениями УФССП России по Калужской области проводится системное взаимодействие с Центрами занятости населения и решаются вопросы постановки должников на учет либо трудоустройства.</w:t>
      </w:r>
      <w:r>
        <w:rPr>
          <w:rFonts w:ascii="Times New Roman" w:hAnsi="Times New Roman" w:cs="Times New Roman"/>
          <w:sz w:val="26"/>
          <w:szCs w:val="26"/>
        </w:rPr>
        <w:t xml:space="preserve">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целях оказания содействия в трудоустройстве за 2018 год 1 206 должникам  выданы направления в подразделения службы занятости (в 2017 году – 1 375). Вследствие чего 261 должник состоит на учете в </w:t>
      </w:r>
      <w:r>
        <w:rPr>
          <w:rFonts w:ascii="Times New Roman" w:eastAsia="Times New Roman" w:hAnsi="Times New Roman" w:cs="Times New Roman"/>
          <w:sz w:val="26"/>
          <w:szCs w:val="26"/>
          <w:lang w:eastAsia="ru-RU"/>
        </w:rPr>
        <w:t>Центрах занятости населения</w:t>
      </w:r>
      <w:r>
        <w:rPr>
          <w:rFonts w:ascii="Times New Roman" w:hAnsi="Times New Roman" w:cs="Times New Roman"/>
          <w:sz w:val="26"/>
          <w:szCs w:val="26"/>
        </w:rPr>
        <w:t>, трудоустроились 204 должника.</w:t>
      </w:r>
      <w:r>
        <w:rPr>
          <w:rFonts w:ascii="Times New Roman" w:eastAsia="Times New Roman" w:hAnsi="Times New Roman" w:cs="Times New Roman"/>
          <w:sz w:val="26"/>
          <w:szCs w:val="26"/>
          <w:lang w:eastAsia="ru-RU"/>
        </w:rPr>
        <w:t xml:space="preserve">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в адрес Уполномоченного поступило 42 обращения по неисполнению алиментных обязательств. При этом причины, затрудняющие взыскание алиментов на содержание несовершеннолетних, являются для всех обращений достаточно известными. Прежде всего, это отсутствие у должников постоянного заработка и имущества, на которое может быть обращено взыскание, а также невозможность для них трудоустроиться, найти подходящую работу и иметь легальный заработок. Некоторые из должников вдобавок ко всему этому не имеют и постоянного места жительства, что существенно затрудняет процесс их поиска. Вместе с тем в ряде обращений граждане справедливо критиковали деятельность судебных приставов-исполнителей за недостаточно эфективную работу по розыску должников по уплате алиментов, ошибки в расчетах по задолженности по алиментам, несвоевременное оформление документов.</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К Уполномоченному обратилась гражданка Р. с жалобой на ненадлежащее исполнение сотрудниками ОСП по Ленинскому округу г. Калуги своих обязанностей по вопросу взыскания алиментов с отца её ребенка. Гражданка Р. на момент обращения к Уполномоченному больше года не получала алименты на содержание ребенка.</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Действуя в интересах ребенка заявителя, Уполномоченным направлено письмо в УФССП России по Калужской области о необходимости принятия мер по исполнению решения суда о взыскании алиментов.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результате указанных действий, с должника в пользу гражданки Р. взыскана задолженность по алиментам.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В своей деятельности Уполномоченный взаимодействует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осуществляется доставка данных граждан в необходимые им учреждения, организации. Сотрудники аппарата Уполномоченного берут на себя «полное юридическое сопровождение таких семей».</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Также Уполномоченный взаимодействует с Центром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Реализуются программы сопровождения беременных женщин, основной целевой группой которой являются несовершеннолетние беременные и одинокие беременные женщины.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По состоянию на 01.01.2019 в Калужской области зарегистрировано 11 163 многодетных семей. В них воспитывается 37 168 несовершеннолетних детей, что на 12% больше, чем в 2017 году. </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Достаточно успешно в Калужской области реализуются нормы федерального и регионального земельного законодательства, предусматривающие бесплатное предоставление </w:t>
      </w:r>
      <w:r>
        <w:rPr>
          <w:rFonts w:ascii="Times New Roman" w:hAnsi="Times New Roman" w:cs="Times New Roman"/>
          <w:sz w:val="26"/>
          <w:szCs w:val="26"/>
        </w:rPr>
        <w:t>земельных участков гражданам, имеющих трех и более детей.</w:t>
      </w:r>
    </w:p>
    <w:p>
      <w:pPr>
        <w:suppressAutoHyphens/>
        <w:spacing w:after="0" w:line="360" w:lineRule="auto"/>
        <w:ind w:right="-284"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Однако есть и недостатки. Так, в большинстве случаев, на предоставляемых участках и вокруг них отсутствует инфраструктура.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Также хотелось бы затронуть такую категорию граждан, как дети-сироты. 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о детях, оставшихся без попечения родителей. По состоянию на 1 января 2019 года в региональном банке данных о детях, оставшихся без попечения родителей, в Калужской области состоит на учете 276 детей (2017 г. – 261).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Сведения об устройстве детей-сирот и детей, оставшихся без попечения родителей в Калужской области, отражены в таблице № 3.</w:t>
      </w:r>
    </w:p>
    <w:p>
      <w:pPr>
        <w:suppressAutoHyphens/>
        <w:spacing w:after="0" w:line="240" w:lineRule="auto"/>
        <w:ind w:right="-284"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Таблица № 3</w:t>
      </w:r>
    </w:p>
    <w:p>
      <w:pPr>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240" w:lineRule="auto"/>
        <w:ind w:right="-28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об устройстве детей-сирот и детей, оставшихся без попечения родителей</w:t>
      </w:r>
    </w:p>
    <w:p>
      <w:pPr>
        <w:suppressAutoHyphens/>
        <w:spacing w:after="0" w:line="240" w:lineRule="auto"/>
        <w:ind w:right="-284"/>
        <w:contextualSpacing/>
        <w:jc w:val="center"/>
        <w:rPr>
          <w:rFonts w:ascii="Times New Roman" w:eastAsia="Times New Roman" w:hAnsi="Times New Roman" w:cs="Times New Roman"/>
          <w:b/>
          <w:sz w:val="26"/>
          <w:szCs w:val="26"/>
          <w:lang w:eastAsia="ru-RU"/>
        </w:rPr>
      </w:pPr>
    </w:p>
    <w:tbl>
      <w:tblPr>
        <w:tblStyle w:val="a8"/>
        <w:tblW w:w="10314" w:type="dxa"/>
        <w:tblLook w:val="04A0" w:firstRow="1" w:lastRow="0" w:firstColumn="1" w:lastColumn="0" w:noHBand="0" w:noVBand="1"/>
      </w:tblPr>
      <w:tblGrid>
        <w:gridCol w:w="817"/>
        <w:gridCol w:w="6000"/>
        <w:gridCol w:w="1796"/>
        <w:gridCol w:w="1701"/>
      </w:tblGrid>
      <w:tr>
        <w:tc>
          <w:tcPr>
            <w:tcW w:w="817" w:type="dxa"/>
          </w:tcPr>
          <w:p>
            <w:pPr>
              <w:tabs>
                <w:tab w:val="left" w:pos="4678"/>
              </w:tabs>
              <w:suppressAutoHyphens/>
              <w:ind w:left="-142" w:right="-108"/>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6000" w:type="dxa"/>
          </w:tcPr>
          <w:p>
            <w:pPr>
              <w:tabs>
                <w:tab w:val="left" w:pos="4678"/>
              </w:tabs>
              <w:suppressAutoHyphens/>
              <w:ind w:firstLine="709"/>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 об устройстве детей-сирот</w:t>
            </w:r>
          </w:p>
        </w:tc>
        <w:tc>
          <w:tcPr>
            <w:tcW w:w="1796" w:type="dxa"/>
          </w:tcPr>
          <w:p>
            <w:pPr>
              <w:suppressAutoHyphens/>
              <w:ind w:left="-154" w:right="-92"/>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2017 год</w:t>
            </w:r>
          </w:p>
        </w:tc>
        <w:tc>
          <w:tcPr>
            <w:tcW w:w="1701" w:type="dxa"/>
          </w:tcPr>
          <w:p>
            <w:pPr>
              <w:suppressAutoHyphens/>
              <w:ind w:left="-124" w:right="-143"/>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 год</w:t>
            </w:r>
          </w:p>
        </w:tc>
      </w:tr>
      <w:tr>
        <w:tc>
          <w:tcPr>
            <w:tcW w:w="817" w:type="dxa"/>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2946</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2818</w:t>
            </w:r>
          </w:p>
        </w:tc>
      </w:tr>
      <w:tr>
        <w:tc>
          <w:tcPr>
            <w:tcW w:w="817" w:type="dxa"/>
            <w:vMerge w:val="restart"/>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Численность выявленных детей - сирот и детей, оставшихся без попечения родителей</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318</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p>
        </w:tc>
      </w:tr>
      <w:tr>
        <w:tc>
          <w:tcPr>
            <w:tcW w:w="817" w:type="dxa"/>
            <w:vMerge/>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них: количество детей-сирот</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w:t>
            </w:r>
          </w:p>
        </w:tc>
      </w:tr>
      <w:tr>
        <w:tc>
          <w:tcPr>
            <w:tcW w:w="817" w:type="dxa"/>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261</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276</w:t>
            </w:r>
          </w:p>
        </w:tc>
      </w:tr>
      <w:tr>
        <w:tc>
          <w:tcPr>
            <w:tcW w:w="817" w:type="dxa"/>
            <w:vMerge w:val="restart"/>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Общее число лиц из числа детей-сирот и детей, оставшихся без попечения родителей, состоящих на учете по предоставлению жилья, всего:</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1881</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2132</w:t>
            </w:r>
          </w:p>
        </w:tc>
      </w:tr>
      <w:tr>
        <w:tc>
          <w:tcPr>
            <w:tcW w:w="817" w:type="dxa"/>
            <w:vMerge/>
          </w:tcPr>
          <w:p>
            <w:pPr>
              <w:tabs>
                <w:tab w:val="left" w:pos="4678"/>
              </w:tabs>
              <w:suppressAutoHyphens/>
              <w:ind w:left="-142" w:right="-108"/>
              <w:contextualSpacing/>
              <w:rPr>
                <w:rFonts w:ascii="Times New Roman" w:eastAsia="Times New Roman" w:hAnsi="Times New Roman" w:cs="Times New Roman"/>
                <w:sz w:val="26"/>
                <w:szCs w:val="26"/>
                <w:lang w:eastAsia="ru-RU"/>
              </w:rPr>
            </w:pP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т.ч. в возрасте 14 -17 лет (вкл.)</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565</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616</w:t>
            </w:r>
          </w:p>
        </w:tc>
      </w:tr>
      <w:tr>
        <w:tc>
          <w:tcPr>
            <w:tcW w:w="817" w:type="dxa"/>
            <w:vMerge/>
          </w:tcPr>
          <w:p>
            <w:pPr>
              <w:tabs>
                <w:tab w:val="left" w:pos="4678"/>
              </w:tabs>
              <w:suppressAutoHyphens/>
              <w:ind w:left="-142" w:right="-108"/>
              <w:contextualSpacing/>
              <w:rPr>
                <w:rFonts w:ascii="Times New Roman" w:eastAsia="Times New Roman" w:hAnsi="Times New Roman" w:cs="Times New Roman"/>
                <w:sz w:val="26"/>
                <w:szCs w:val="26"/>
                <w:lang w:eastAsia="ru-RU"/>
              </w:rPr>
            </w:pP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18 -22 лет (вкл.)</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864</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970</w:t>
            </w:r>
          </w:p>
        </w:tc>
      </w:tr>
      <w:tr>
        <w:tc>
          <w:tcPr>
            <w:tcW w:w="817" w:type="dxa"/>
            <w:vMerge/>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23 лет</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452</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546</w:t>
            </w:r>
          </w:p>
        </w:tc>
      </w:tr>
      <w:tr>
        <w:tc>
          <w:tcPr>
            <w:tcW w:w="817" w:type="dxa"/>
            <w:vMerge w:val="restart"/>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лиц указанной категории, чье право на получение жилья реализовано, всего:</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167</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w:t>
            </w:r>
          </w:p>
        </w:tc>
      </w:tr>
      <w:tr>
        <w:tc>
          <w:tcPr>
            <w:tcW w:w="817" w:type="dxa"/>
            <w:vMerge/>
          </w:tcPr>
          <w:p>
            <w:pPr>
              <w:tabs>
                <w:tab w:val="left" w:pos="4678"/>
              </w:tabs>
              <w:suppressAutoHyphens/>
              <w:ind w:left="-142" w:right="-108"/>
              <w:contextualSpacing/>
              <w:jc w:val="center"/>
              <w:rPr>
                <w:rFonts w:ascii="Times New Roman" w:eastAsia="Times New Roman" w:hAnsi="Times New Roman" w:cs="Times New Roman"/>
                <w:sz w:val="26"/>
                <w:szCs w:val="26"/>
                <w:lang w:eastAsia="ru-RU"/>
              </w:rPr>
            </w:pPr>
          </w:p>
        </w:tc>
        <w:tc>
          <w:tcPr>
            <w:tcW w:w="6000" w:type="dxa"/>
          </w:tcPr>
          <w:p>
            <w:pPr>
              <w:tabs>
                <w:tab w:val="left" w:pos="4678"/>
              </w:tabs>
              <w:suppressAutoHyphens/>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том числе по вынесенным судебным решениям</w:t>
            </w:r>
          </w:p>
        </w:tc>
        <w:tc>
          <w:tcPr>
            <w:tcW w:w="1796" w:type="dxa"/>
          </w:tcPr>
          <w:p>
            <w:pPr>
              <w:suppressAutoHyphens/>
              <w:ind w:left="-154" w:right="-92"/>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701" w:type="dxa"/>
          </w:tcPr>
          <w:p>
            <w:pPr>
              <w:suppressAutoHyphens/>
              <w:ind w:left="-124" w:right="-143"/>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r>
    </w:tbl>
    <w:p>
      <w:pPr>
        <w:suppressAutoHyphens/>
        <w:spacing w:after="0" w:line="240" w:lineRule="auto"/>
        <w:ind w:right="-284" w:firstLine="709"/>
        <w:contextualSpacing/>
        <w:jc w:val="both"/>
        <w:rPr>
          <w:rFonts w:ascii="Times New Roman" w:eastAsia="Times New Roman" w:hAnsi="Times New Roman" w:cs="Times New Roman"/>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Количество граждан, желающих принять детей, оставшихся без попечения родителей, на воспитание в семью или усыновить ребенка в 2018 году в сравнении с 2017 годом уменьшилось, так, по состоянию на 01.01.2018 на учете в органах опеки и попечительства Калужской области состояло 340 семей, а по состоянию на 31.12.2018 уже 262 семей. За 2018 год 276 семей приняли детей. Однако 475 семей в течение года так и не смогли подобрать себе ребенка. Такие результаты, прежде всего, обусловлены желанием опекунов взять под опеку детей, имеющих только I или II группу здоровья (94 семьи), отдавая предпочтение детям дошкольного возраста (339 семей), 84 семьи мечтают о здоровом ребенке дошкольного возраста. </w:t>
      </w:r>
    </w:p>
    <w:p>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Pr>
          <w:rFonts w:ascii="Times New Roman" w:eastAsia="Times New Roman" w:hAnsi="Times New Roman" w:cs="Times New Roman"/>
          <w:color w:val="000000"/>
          <w:sz w:val="26"/>
          <w:szCs w:val="26"/>
        </w:rPr>
        <w:lastRenderedPageBreak/>
        <w:t>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родительства в мае 2018 года в Калужском Доме Музыки проведена ежегодная фотовыставка «Счастье - это МЫ!» о детях, нуждающихся в семейном устройстве и успешных приемных семьях. На выставке были представлены фотопортреты 30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десяти успешных приемных семей, воспитывающих приемных детей. Выставка находилась в Калуге до июля 2018 года, далее - в десяти муниципальных образованиях области (Думиничском, Перемышльском, Кировском, Людиновском, Ферзиковском, Козельском, Ульяновском, Износковском, Мосальском, Тарусском).</w:t>
      </w:r>
    </w:p>
    <w:p>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На сайте ГКУ КО «Содействие» </w:t>
      </w:r>
      <w:r>
        <w:rPr>
          <w:rFonts w:ascii="Times New Roman" w:eastAsia="Times New Roman" w:hAnsi="Times New Roman" w:cs="Times New Roman"/>
          <w:color w:val="000000"/>
          <w:sz w:val="26"/>
          <w:szCs w:val="26"/>
          <w:lang w:val="en-US"/>
        </w:rPr>
        <w:t>www</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detstvo</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lile</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kaluga</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socinfo</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ru</w:t>
      </w:r>
      <w:r>
        <w:rPr>
          <w:rFonts w:ascii="Times New Roman" w:eastAsia="Times New Roman" w:hAnsi="Times New Roman" w:cs="Times New Roman"/>
          <w:color w:val="000000"/>
          <w:sz w:val="26"/>
          <w:szCs w:val="26"/>
        </w:rPr>
        <w:t xml:space="preserve"> размещена информация о детях-сиротах и детях, оставшихся без попечения родителей, в рубрике «Этим детям нужна семья» и в рубрике «Ищу маму» на сайте министерства труда и социальной защиты Калужской области.</w:t>
      </w:r>
    </w:p>
    <w:p>
      <w:pPr>
        <w:shd w:val="clear" w:color="auto" w:fill="FFFFFF"/>
        <w:suppressAutoHyphens/>
        <w:spacing w:after="0" w:line="360" w:lineRule="auto"/>
        <w:ind w:right="-284" w:firstLine="709"/>
        <w:contextualSpacing/>
        <w:jc w:val="both"/>
        <w:rPr>
          <w:rFonts w:ascii="Times New Roman" w:hAnsi="Times New Roman" w:cs="Times New Roman"/>
          <w:sz w:val="26"/>
          <w:szCs w:val="26"/>
        </w:rPr>
      </w:pPr>
      <w:r>
        <w:rPr>
          <w:rFonts w:ascii="Times New Roman" w:eastAsia="Times New Roman" w:hAnsi="Times New Roman" w:cs="Times New Roman"/>
          <w:color w:val="000000"/>
          <w:sz w:val="26"/>
          <w:szCs w:val="26"/>
        </w:rPr>
        <w:t>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2018 году создана 101 видеоанкета (в 2017 - 114 видеоанкет) детей-сирот и детей, оставшихся без попечения родителей, воспитывающихся в организациях для детей-сирот.</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вторичного сиротства – отменены решения о передаче ребенка на воспитание в семью. Если в 2017 году были отменены решения о передаче в семью в отношении 29 детей, то в 2018 году – 37. При этом следует отметить, что в 30 случаях из 37 отмена решений произошла по инициативе усыновителей, опекунов (попечителей) и приемных родителей.</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Мониторинг последних лет демонстрирует негативную динамику увеличения количества случаев отмены решений о передаче детей в замещающие семьи. Вторичное сиротство наносит серьезную травму и без того надорванной и уязвимой психике ребенка. Ситуации возврата детей из замещающих семей глубоко травмируют детей и влекут за собой их нравственную и психологическую деградацию. Будучи брошенным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w:t>
      </w:r>
      <w:r>
        <w:rPr>
          <w:rFonts w:ascii="Times New Roman" w:eastAsia="Times New Roman" w:hAnsi="Times New Roman" w:cs="Times New Roman"/>
          <w:sz w:val="26"/>
          <w:szCs w:val="26"/>
          <w:lang w:eastAsia="ru-RU"/>
        </w:rPr>
        <w:lastRenderedPageBreak/>
        <w:t>выполнении роли родителя: отказ от воспитания собственных детей, неспособность создать полноценную семью.</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Причинами отказа от детей в 2018 году стали:</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недостаток знаний об особенностях физического и умственного развития ребенка;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идеализированные ожидания родителей, которые ребенок не оправдал;</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несхожесть темпераментов, проблемы общения, поведения, трудности во взаимопонимании, особенно в период взросления (подростковый период) и полового созревания;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проблемы со здоровьем, обусловленные особенностями наследственности;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страх дальнейшей ответственности и неуверенность в собственных силах опекунов;</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ухудшение состояния здоровья опекунов;</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нежелание ребёнка оставаться в семье в связи с повышенными требованиями приемных родителей, усилением контроля над учёбой детей и их поведением.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сведениям Министерства труда и социальной защиты Калужской области, в 2018 году после отмены решения о передаче ребенка на воспитание в семью все дети (37 ребят) были устроены под надзор в организации для детей-сирот и детей, оставшихся без попечения родителей (в 2017 году – 29).</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Учитывая, что большинство замещающих родителей, в отношении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Вместе с тем вызывает беспокойство и тот факт, что в 4 случаях отмена решений произошла по причине жестокого обращения с детьми, а в 2 случаях в связи с ненадлежащим выполнением обязанностей по воспитанию детей.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контроля за условиями жизни и воспитания детей в приемных семьях.</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Таким образом, в целях минимизации фактов отмены решений о передаче ребенка на воспитание в семью и предотвращения возврата детей в государственные сиротские учреждения считаем необходимым министерству труда и социальной защиты Калужской области: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принять меры по усовершенствованию деятельности органов опеки и попечительства по созданию эффективной и профессионально работающей системы </w:t>
      </w:r>
      <w:r>
        <w:rPr>
          <w:rFonts w:ascii="Times New Roman" w:eastAsia="Times New Roman" w:hAnsi="Times New Roman" w:cs="Times New Roman"/>
          <w:sz w:val="26"/>
          <w:szCs w:val="26"/>
          <w:lang w:eastAsia="ru-RU"/>
        </w:rPr>
        <w:lastRenderedPageBreak/>
        <w:t>подготовки кандидатов в замещающие родители и сопровождения семей, взявших на воспитание ребенка-сироту;</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рассмотреть вопрос организации системной работы по повышению психолого-педагогических компетенций приемных родителей, опекунов (попечителей), членов замещающих семей в целом. </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p>
    <w:p>
      <w:pPr>
        <w:spacing w:line="240" w:lineRule="auto"/>
        <w:ind w:firstLine="709"/>
        <w:contextualSpacing/>
        <w:jc w:val="both"/>
        <w:rPr>
          <w:rFonts w:ascii="Times New Roman" w:hAnsi="Times New Roman" w:cs="Times New Roman"/>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2.3. ПРАВО РЕБЕНКА НА ОТДЫХ И ОЗДОРОВЛЕНИЕ</w:t>
      </w:r>
    </w:p>
    <w:p>
      <w:pPr>
        <w:autoSpaceDE w:val="0"/>
        <w:autoSpaceDN w:val="0"/>
        <w:adjustRightInd w:val="0"/>
        <w:spacing w:after="0" w:line="360" w:lineRule="auto"/>
        <w:contextualSpacing/>
        <w:jc w:val="both"/>
        <w:rPr>
          <w:rFonts w:ascii="Times New Roman" w:hAnsi="Times New Roman" w:cs="Times New Roman"/>
          <w:sz w:val="26"/>
          <w:szCs w:val="26"/>
        </w:rPr>
      </w:pP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ст. 12 Федерального закона от 24.07.1998 № 124-ФЗ «Об основных гарантиях прав ребенка в Российской Федерации»  ребенок имеет право на отдых и оздоровление. Отдых и оздоровление детей – это совокупность мероприятий, обеспечивающих развитие творческого потенциала детей, охрану и укрепление их здоровья, профилактику заболеваний, занятие физической культурой, спортом,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 </w:t>
      </w:r>
    </w:p>
    <w:p>
      <w:pPr>
        <w:pStyle w:val="a3"/>
        <w:shd w:val="clear" w:color="auto" w:fill="FFFFFF"/>
        <w:spacing w:before="0" w:beforeAutospacing="0" w:after="0" w:afterAutospacing="0" w:line="360" w:lineRule="auto"/>
        <w:ind w:firstLine="709"/>
        <w:contextualSpacing/>
        <w:jc w:val="both"/>
        <w:textAlignment w:val="baseline"/>
        <w:rPr>
          <w:color w:val="000000"/>
          <w:sz w:val="26"/>
          <w:szCs w:val="26"/>
        </w:rPr>
      </w:pPr>
      <w:r>
        <w:rPr>
          <w:color w:val="000000"/>
          <w:sz w:val="26"/>
          <w:szCs w:val="26"/>
        </w:rPr>
        <w:t xml:space="preserve">Система отдыха и оздоровления детей в Калужской области имеет ряд особенностей. Основным элементом данной системы является межведомственное взаимодействие, которое строится через создание единого правового поля, порядка финансирования, координацию деятельности, реализацию функций </w:t>
      </w:r>
      <w:r>
        <w:rPr>
          <w:sz w:val="26"/>
          <w:szCs w:val="26"/>
          <w:bdr w:val="none" w:sz="0" w:space="0" w:color="auto" w:frame="1"/>
        </w:rPr>
        <w:t>государственного контроля</w:t>
      </w:r>
      <w:r>
        <w:rPr>
          <w:sz w:val="26"/>
          <w:szCs w:val="26"/>
        </w:rPr>
        <w:t>,</w:t>
      </w:r>
      <w:r>
        <w:rPr>
          <w:color w:val="000000"/>
          <w:sz w:val="26"/>
          <w:szCs w:val="26"/>
        </w:rPr>
        <w:t xml:space="preserve"> информационное обеспечение и повышение уровня материально-технической базы учреждений, оказывающих услуги по организации отдыха и оздоровления детей.</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Калужской области полномочия по организации отдыха, оздоровления, творческой занятости детей и подростков осуществляет министерство образования и науки Калужской области. Областная межведомственная комиссия по организации отдыха, оздоровления, занятости детей и подростков – это коллегиальный орган, координирующий деятельность соответствующих органов исполнительной власти Калужской области, муниципальных образований, организаций по обеспечению детского и молодежного отдыха.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Оздоровительная кампания на территории Калужской области реализовывалась  в 2018 году в рамках подпрограммы «Организация отдыха и оздоровления детей Калужской области» программы Калужской области «Развитие образования в Калужской области», утвержденной Постановлением Правительства Калужской области от 20.12.2013 № 713.</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Отдых и оздоровление детей осуществляется круглогодично в период всех школьных каникул и представляет собой различные  формы досуговой занятости детей, подростков и творческой молодежи. В целом в 2018 году оздоровительный отдых, образовательная и трудовая занятость были организованы для 92 306 детей в возрасте от 7 до 17 лет, что составляет 91%</w:t>
      </w:r>
      <w:r>
        <w:rPr>
          <w:rFonts w:ascii="Times New Roman" w:hAnsi="Times New Roman" w:cs="Times New Roman"/>
          <w:color w:val="FF0000"/>
          <w:sz w:val="26"/>
          <w:szCs w:val="26"/>
        </w:rPr>
        <w:t xml:space="preserve"> </w:t>
      </w:r>
      <w:r>
        <w:rPr>
          <w:rFonts w:ascii="Times New Roman" w:hAnsi="Times New Roman" w:cs="Times New Roman"/>
          <w:sz w:val="26"/>
          <w:szCs w:val="26"/>
        </w:rPr>
        <w:t>от общего числа детей региона, в том числе для 26 901</w:t>
      </w:r>
      <w:r>
        <w:rPr>
          <w:rFonts w:ascii="Times New Roman" w:hAnsi="Times New Roman" w:cs="Times New Roman"/>
          <w:b/>
          <w:sz w:val="26"/>
          <w:szCs w:val="26"/>
        </w:rPr>
        <w:t xml:space="preserve"> </w:t>
      </w:r>
      <w:r>
        <w:rPr>
          <w:rFonts w:ascii="Times New Roman" w:hAnsi="Times New Roman" w:cs="Times New Roman"/>
          <w:color w:val="FF0000"/>
          <w:sz w:val="26"/>
          <w:szCs w:val="26"/>
        </w:rPr>
        <w:t xml:space="preserve"> </w:t>
      </w:r>
      <w:r>
        <w:rPr>
          <w:rFonts w:ascii="Times New Roman" w:hAnsi="Times New Roman" w:cs="Times New Roman"/>
          <w:sz w:val="26"/>
          <w:szCs w:val="26"/>
        </w:rPr>
        <w:lastRenderedPageBreak/>
        <w:t xml:space="preserve">детей, находящихся в трудной жизненной ситуации, - это 88% от общего количества детей данной категории.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Огромную часть в круглогодичной оздоровительной кампании составляет летняя оздоровительная кампания, так как, во-первых, для детей это самые большие школьные каникулы, во-вторых, значительная часть денежных средств, выделенных на проведение отдыха и оздоровления детей, предусмотрена именно на организацию качественного и безопасного отдыха детей в период летних каникул, в-третьих очень важно, чтобы летний отдых детей был разнообразным, насыщенным, запоминающимся. Поэтому организация  разнообразного творческого  досуга и занятости детей и подростков  становится одним из приоритетных направлений всей системы отдыха и оздоровления. </w:t>
      </w:r>
    </w:p>
    <w:p>
      <w:pPr>
        <w:autoSpaceDE w:val="0"/>
        <w:autoSpaceDN w:val="0"/>
        <w:adjustRightInd w:val="0"/>
        <w:spacing w:after="0" w:line="360" w:lineRule="auto"/>
        <w:ind w:firstLine="709"/>
        <w:contextualSpacing/>
        <w:jc w:val="both"/>
        <w:rPr>
          <w:rFonts w:ascii="Times New Roman" w:hAnsi="Times New Roman" w:cs="Times New Roman"/>
          <w:color w:val="FF0000"/>
          <w:sz w:val="26"/>
          <w:szCs w:val="26"/>
        </w:rPr>
      </w:pPr>
      <w:r>
        <w:rPr>
          <w:rFonts w:ascii="Times New Roman" w:hAnsi="Times New Roman" w:cs="Times New Roman"/>
          <w:sz w:val="26"/>
          <w:szCs w:val="26"/>
        </w:rPr>
        <w:t xml:space="preserve">По данным министерства образования и науки Калужской области в период летней оздоровительной кампании 2018 года летним отдыхом и оздоровлением было охвачено 44 292 ребенка, из них находящихся в трудной жизненной ситуации – 23 062 человека. Это меньше чем в 2017 году на 4,3% и  9,5% соответственно.  </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Инфраструктура оздоровительных и санаторных учреждений Калужской области представлена в </w:t>
      </w:r>
      <w:r>
        <w:rPr>
          <w:rFonts w:ascii="Times New Roman" w:eastAsia="Times New Roman" w:hAnsi="Times New Roman" w:cs="Times New Roman"/>
          <w:sz w:val="26"/>
          <w:szCs w:val="26"/>
          <w:lang w:eastAsia="ru-RU"/>
        </w:rPr>
        <w:t>Реестре организаций отдыха детей и их оздоровления в Калужской области на 2018 год. Данный реестр составлен с целью обеспечения информационной доступности и систематизации сведений об организациях отдыха и оздоровления детей на территории Калужской области. В нем содержится  информация о государственных, муниципальных и частных организациях отдыха и оздоровления, представленная  органами местного самоуправления Калужской области и государственными организациями отдыха и оздоровления детей. Реестр регулярно актуализируется.</w:t>
      </w:r>
    </w:p>
    <w:p>
      <w:pPr>
        <w:shd w:val="clear" w:color="auto" w:fill="FFFFFF"/>
        <w:spacing w:after="0" w:line="360" w:lineRule="auto"/>
        <w:ind w:firstLine="709"/>
        <w:contextualSpacing/>
        <w:jc w:val="both"/>
        <w:rPr>
          <w:rFonts w:ascii="Times New Roman" w:hAnsi="Times New Roman" w:cs="Times New Roman"/>
          <w:b/>
          <w:sz w:val="26"/>
          <w:szCs w:val="26"/>
        </w:rPr>
      </w:pPr>
      <w:r>
        <w:rPr>
          <w:rFonts w:ascii="Times New Roman" w:hAnsi="Times New Roman" w:cs="Times New Roman"/>
          <w:sz w:val="26"/>
          <w:szCs w:val="26"/>
        </w:rPr>
        <w:t xml:space="preserve">Отдых и оздоровление детей Калужской области в 2018 году в период школьных летних каникул был организован в 377 учреждениях, расположенных на территории региона (в 2017 году – 385) (Диаграмма 11). </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сравнению с 2017 годом наблюдается тенденция уменьшения учреждений:  </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палаточных лагерей: в 2017 году было 17; стало 9;</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санаторных учреждений: в 2017 году было 7; стало 4;</w:t>
      </w:r>
    </w:p>
    <w:p>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лагерей труда и отдыха: в 2017 году было 5; стало 4.    </w:t>
      </w: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p>
    <w:p>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Pr>
          <w:noProof/>
          <w:sz w:val="26"/>
          <w:szCs w:val="26"/>
          <w:lang w:eastAsia="ru-RU"/>
        </w:rPr>
        <w:lastRenderedPageBreak/>
        <w:drawing>
          <wp:inline distT="0" distB="0" distL="0" distR="0">
            <wp:extent cx="6290310" cy="3349625"/>
            <wp:effectExtent l="19050" t="0" r="1524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Диаграмма № 11</w:t>
      </w:r>
    </w:p>
    <w:p>
      <w:pPr>
        <w:autoSpaceDE w:val="0"/>
        <w:autoSpaceDN w:val="0"/>
        <w:adjustRightInd w:val="0"/>
        <w:spacing w:after="0" w:line="240" w:lineRule="auto"/>
        <w:ind w:firstLine="709"/>
        <w:contextualSpacing/>
        <w:jc w:val="both"/>
        <w:rPr>
          <w:rFonts w:ascii="Times New Roman" w:hAnsi="Times New Roman" w:cs="Times New Roman"/>
          <w:sz w:val="26"/>
          <w:szCs w:val="26"/>
        </w:rPr>
      </w:pP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отдохнувших детей в вышеуказанных учреждениях отдыха и оздоровления детей в сравнении с 2017 годом соответственно уменьшилось.</w:t>
      </w:r>
    </w:p>
    <w:p>
      <w:pPr>
        <w:autoSpaceDE w:val="0"/>
        <w:autoSpaceDN w:val="0"/>
        <w:adjustRightInd w:val="0"/>
        <w:spacing w:after="0" w:line="240" w:lineRule="auto"/>
        <w:ind w:firstLine="709"/>
        <w:contextualSpacing/>
        <w:jc w:val="both"/>
        <w:rPr>
          <w:rFonts w:ascii="Times New Roman" w:hAnsi="Times New Roman" w:cs="Times New Roman"/>
          <w:sz w:val="26"/>
          <w:szCs w:val="26"/>
        </w:rPr>
      </w:pPr>
    </w:p>
    <w:p>
      <w:pPr>
        <w:autoSpaceDE w:val="0"/>
        <w:autoSpaceDN w:val="0"/>
        <w:adjustRightInd w:val="0"/>
        <w:spacing w:after="0" w:line="240" w:lineRule="auto"/>
        <w:contextualSpacing/>
        <w:jc w:val="both"/>
        <w:rPr>
          <w:rFonts w:ascii="Times New Roman" w:hAnsi="Times New Roman" w:cs="Times New Roman"/>
          <w:sz w:val="26"/>
          <w:szCs w:val="26"/>
        </w:rPr>
      </w:pPr>
      <w:r>
        <w:rPr>
          <w:noProof/>
          <w:sz w:val="26"/>
          <w:szCs w:val="26"/>
          <w:lang w:eastAsia="ru-RU"/>
        </w:rPr>
        <w:drawing>
          <wp:inline distT="0" distB="0" distL="0" distR="0">
            <wp:extent cx="6290310" cy="3009265"/>
            <wp:effectExtent l="19050" t="0" r="15240"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Диаграмма № 12</w:t>
      </w:r>
    </w:p>
    <w:p>
      <w:pPr>
        <w:autoSpaceDE w:val="0"/>
        <w:autoSpaceDN w:val="0"/>
        <w:adjustRightInd w:val="0"/>
        <w:spacing w:after="0" w:line="240" w:lineRule="auto"/>
        <w:ind w:firstLine="709"/>
        <w:contextualSpacing/>
        <w:jc w:val="both"/>
        <w:rPr>
          <w:rFonts w:ascii="Times New Roman" w:hAnsi="Times New Roman" w:cs="Times New Roman"/>
          <w:b/>
          <w:sz w:val="26"/>
          <w:szCs w:val="26"/>
        </w:rPr>
      </w:pP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 сравнению с 2017 годом значительно сократилось количество отдохнувших детей в детских оздоровительных учреждениях:</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стационарные учреждения – на 9%;</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санаторные учреждения – на 29,2 %;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лагеря с дневным пребыванием – на 8,7%;</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лагеря палаточного типа – на 34,2%;</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учреждения, расположенные на побережье Черного и Азовского морей – на 5,4%.</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организацию оздоровительной кампании традиционно выделяются значительные средства. Так, из областного бюджета в 2018 году на эти цели было выделено 125,9 млн. рублей, из них  66,7 млн. рублей – на отдых и оздоровление детей, находящихся в трудной жизненной ситуации. Данные средства были направлены: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на закупку путевок в загородные оздоровительные учреждения – 96,4 млн. руб.;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на закупку путевок в санаторные учреждения – 5,5 млн. руб.;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на организацию деятельности лагерей с дневным пребыванием – 23, 9 млн. руб.;</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того, на организацию и проведение оздоровительной кампании привлекались средства муниципальных районов и городских округов, средства предприятий и родителей: </w:t>
      </w:r>
    </w:p>
    <w:p>
      <w:pPr>
        <w:autoSpaceDE w:val="0"/>
        <w:autoSpaceDN w:val="0"/>
        <w:adjustRightInd w:val="0"/>
        <w:spacing w:after="0" w:line="240" w:lineRule="auto"/>
        <w:contextualSpacing/>
        <w:jc w:val="both"/>
        <w:rPr>
          <w:rFonts w:ascii="Times New Roman" w:hAnsi="Times New Roman" w:cs="Times New Roman"/>
          <w:sz w:val="26"/>
          <w:szCs w:val="26"/>
        </w:rPr>
      </w:pPr>
      <w:r>
        <w:rPr>
          <w:noProof/>
          <w:sz w:val="26"/>
          <w:szCs w:val="26"/>
          <w:lang w:eastAsia="ru-RU"/>
        </w:rPr>
        <w:drawing>
          <wp:inline distT="0" distB="0" distL="0" distR="0">
            <wp:extent cx="6320790" cy="2743200"/>
            <wp:effectExtent l="19050" t="0" r="2286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Pr>
          <w:rFonts w:ascii="Times New Roman" w:hAnsi="Times New Roman" w:cs="Times New Roman"/>
          <w:sz w:val="26"/>
          <w:szCs w:val="26"/>
        </w:rPr>
        <w:t xml:space="preserve">                                                                                                               </w:t>
      </w:r>
      <w:r>
        <w:rPr>
          <w:rFonts w:ascii="Times New Roman" w:eastAsia="Times New Roman" w:hAnsi="Times New Roman" w:cs="Times New Roman"/>
          <w:b/>
          <w:i/>
          <w:sz w:val="26"/>
          <w:szCs w:val="26"/>
          <w:lang w:eastAsia="ru-RU"/>
        </w:rPr>
        <w:t>Диаграмма № 13</w:t>
      </w:r>
    </w:p>
    <w:p>
      <w:pPr>
        <w:autoSpaceDE w:val="0"/>
        <w:autoSpaceDN w:val="0"/>
        <w:adjustRightInd w:val="0"/>
        <w:spacing w:after="0" w:line="240" w:lineRule="auto"/>
        <w:contextualSpacing/>
        <w:jc w:val="both"/>
        <w:rPr>
          <w:rFonts w:ascii="Times New Roman" w:hAnsi="Times New Roman" w:cs="Times New Roman"/>
          <w:b/>
          <w:sz w:val="26"/>
          <w:szCs w:val="26"/>
        </w:rPr>
      </w:pPr>
    </w:p>
    <w:p>
      <w:pPr>
        <w:autoSpaceDE w:val="0"/>
        <w:autoSpaceDN w:val="0"/>
        <w:adjustRightInd w:val="0"/>
        <w:spacing w:after="0" w:line="360" w:lineRule="auto"/>
        <w:ind w:firstLine="709"/>
        <w:contextualSpacing/>
        <w:jc w:val="both"/>
        <w:rPr>
          <w:rFonts w:ascii="Times New Roman" w:hAnsi="Times New Roman" w:cs="Times New Roman"/>
          <w:color w:val="FF0000"/>
          <w:sz w:val="26"/>
          <w:szCs w:val="26"/>
        </w:rPr>
      </w:pPr>
      <w:r>
        <w:rPr>
          <w:rFonts w:ascii="Times New Roman" w:hAnsi="Times New Roman" w:cs="Times New Roman"/>
          <w:sz w:val="26"/>
          <w:szCs w:val="26"/>
        </w:rPr>
        <w:t xml:space="preserve">Результат анализа обращений родителей этого года показал, что наибольшее количество жалоб поступало на нехватку путевок в загородные и санаторные оздоровительные учреждения. В связи с этим на 2019 год министерством образования и науки Калужской области предполагается увеличение финансирования на приобретение путевок почти на 50 млн. руб., и на 4 млн. руб. – увеличение субсидии муниципальным районам и городским округам на реализацию мероприятий по организации оздоровительных лагерей с дневным пребыванием.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целях повышения качества предоставляемых услуг по организации отдыха и оздоровления детей Калужской области, на основании средних цен на продукты питания и в соответствии с рекомендуемыми среднесуточными наборами пищевых продуктов ежегодно утверждается  стоимость питания в детских оздоровительных организациях. </w:t>
      </w:r>
      <w:r>
        <w:rPr>
          <w:rFonts w:ascii="Times New Roman" w:hAnsi="Times New Roman" w:cs="Times New Roman"/>
          <w:sz w:val="26"/>
          <w:szCs w:val="26"/>
        </w:rPr>
        <w:lastRenderedPageBreak/>
        <w:t xml:space="preserve">Решением областной межведомственной комиссией по организации отдыха, оздоровления, занятости детей и подростков Калужской области от 06.10.2018 года уже утверждена стоимость питания на 2019 год. </w:t>
      </w:r>
    </w:p>
    <w:p>
      <w:pPr>
        <w:spacing w:after="0" w:line="360" w:lineRule="auto"/>
        <w:ind w:firstLine="709"/>
        <w:contextualSpacing/>
        <w:jc w:val="both"/>
        <w:rPr>
          <w:rFonts w:ascii="Times New Roman" w:hAnsi="Times New Roman" w:cs="Times New Roman"/>
          <w:sz w:val="26"/>
          <w:szCs w:val="26"/>
        </w:rPr>
      </w:pPr>
    </w:p>
    <w:p>
      <w:pPr>
        <w:spacing w:after="0" w:line="240" w:lineRule="auto"/>
        <w:ind w:firstLine="709"/>
        <w:contextualSpacing/>
        <w:jc w:val="right"/>
        <w:rPr>
          <w:rFonts w:ascii="Times New Roman" w:hAnsi="Times New Roman" w:cs="Times New Roman"/>
          <w:i/>
          <w:sz w:val="26"/>
          <w:szCs w:val="26"/>
        </w:rPr>
      </w:pPr>
      <w:r>
        <w:rPr>
          <w:rFonts w:ascii="Times New Roman" w:hAnsi="Times New Roman" w:cs="Times New Roman"/>
          <w:b/>
          <w:i/>
          <w:sz w:val="26"/>
          <w:szCs w:val="26"/>
        </w:rPr>
        <w:t>Таблица № 4</w:t>
      </w:r>
    </w:p>
    <w:p>
      <w:pPr>
        <w:spacing w:after="0" w:line="360" w:lineRule="auto"/>
        <w:ind w:firstLine="709"/>
        <w:contextualSpacing/>
        <w:jc w:val="both"/>
        <w:rPr>
          <w:rFonts w:ascii="Times New Roman" w:hAnsi="Times New Roman" w:cs="Times New Roman"/>
          <w:sz w:val="26"/>
          <w:szCs w:val="26"/>
        </w:rPr>
      </w:pPr>
    </w:p>
    <w:p>
      <w:pPr>
        <w:shd w:val="clear" w:color="auto" w:fill="FFFFFF"/>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Стоимость питания в учреждениях отдыха и оздоровления</w:t>
      </w:r>
    </w:p>
    <w:p>
      <w:pPr>
        <w:shd w:val="clear" w:color="auto" w:fill="FFFFFF"/>
        <w:spacing w:after="0" w:line="240" w:lineRule="auto"/>
        <w:contextualSpacing/>
        <w:jc w:val="center"/>
        <w:rPr>
          <w:rFonts w:ascii="Times New Roman" w:hAnsi="Times New Roman" w:cs="Times New Roman"/>
          <w:b/>
          <w:sz w:val="26"/>
          <w:szCs w:val="26"/>
        </w:rPr>
      </w:pPr>
    </w:p>
    <w:tbl>
      <w:tblPr>
        <w:tblW w:w="9923" w:type="dxa"/>
        <w:tblInd w:w="108" w:type="dxa"/>
        <w:tblLayout w:type="fixed"/>
        <w:tblLook w:val="04A0" w:firstRow="1" w:lastRow="0" w:firstColumn="1" w:lastColumn="0" w:noHBand="0" w:noVBand="1"/>
      </w:tblPr>
      <w:tblGrid>
        <w:gridCol w:w="567"/>
        <w:gridCol w:w="5387"/>
        <w:gridCol w:w="1276"/>
        <w:gridCol w:w="1417"/>
        <w:gridCol w:w="1276"/>
      </w:tblGrid>
      <w:tr>
        <w:trPr>
          <w:trHeight w:val="352"/>
        </w:trPr>
        <w:tc>
          <w:tcPr>
            <w:tcW w:w="567" w:type="dxa"/>
            <w:tcBorders>
              <w:top w:val="single" w:sz="8" w:space="0" w:color="auto"/>
              <w:left w:val="single" w:sz="8" w:space="0" w:color="auto"/>
              <w:right w:val="single" w:sz="8" w:space="0" w:color="auto"/>
            </w:tcBorders>
          </w:tcPr>
          <w:p>
            <w:pPr>
              <w:spacing w:line="240" w:lineRule="auto"/>
              <w:contextualSpacing/>
              <w:jc w:val="center"/>
              <w:rPr>
                <w:rFonts w:ascii="Times New Roman" w:hAnsi="Times New Roman" w:cs="Times New Roman"/>
                <w:b/>
                <w:bCs/>
                <w:color w:val="000000"/>
                <w:sz w:val="26"/>
                <w:szCs w:val="26"/>
              </w:rPr>
            </w:pPr>
          </w:p>
        </w:tc>
        <w:tc>
          <w:tcPr>
            <w:tcW w:w="5387" w:type="dxa"/>
            <w:vMerge w:val="restart"/>
            <w:tcBorders>
              <w:top w:val="single" w:sz="8" w:space="0" w:color="auto"/>
              <w:left w:val="single" w:sz="8" w:space="0" w:color="auto"/>
              <w:right w:val="single" w:sz="8" w:space="0" w:color="auto"/>
            </w:tcBorders>
            <w:shd w:val="clear" w:color="auto" w:fill="auto"/>
            <w:noWrap/>
            <w:vAlign w:val="center"/>
          </w:tcPr>
          <w:p>
            <w:pPr>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Тип загородного учреждения</w:t>
            </w:r>
          </w:p>
        </w:tc>
        <w:tc>
          <w:tcPr>
            <w:tcW w:w="3969" w:type="dxa"/>
            <w:gridSpan w:val="3"/>
            <w:tcBorders>
              <w:top w:val="single" w:sz="4" w:space="0" w:color="auto"/>
              <w:bottom w:val="single" w:sz="4" w:space="0" w:color="auto"/>
              <w:right w:val="single" w:sz="4" w:space="0" w:color="auto"/>
            </w:tcBorders>
            <w:shd w:val="clear" w:color="auto" w:fill="auto"/>
          </w:tcPr>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Стоимость питания, руб.</w:t>
            </w:r>
          </w:p>
        </w:tc>
      </w:tr>
      <w:tr>
        <w:trPr>
          <w:trHeight w:val="585"/>
        </w:trPr>
        <w:tc>
          <w:tcPr>
            <w:tcW w:w="567" w:type="dxa"/>
            <w:tcBorders>
              <w:left w:val="single" w:sz="8" w:space="0" w:color="auto"/>
              <w:bottom w:val="single" w:sz="8" w:space="0" w:color="auto"/>
              <w:right w:val="single" w:sz="8" w:space="0" w:color="auto"/>
            </w:tcBorders>
          </w:tcPr>
          <w:p>
            <w:pPr>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п/п</w:t>
            </w:r>
          </w:p>
        </w:tc>
        <w:tc>
          <w:tcPr>
            <w:tcW w:w="5387" w:type="dxa"/>
            <w:vMerge/>
            <w:tcBorders>
              <w:left w:val="single" w:sz="8" w:space="0" w:color="auto"/>
              <w:bottom w:val="single" w:sz="8" w:space="0" w:color="auto"/>
              <w:right w:val="single" w:sz="8" w:space="0" w:color="auto"/>
            </w:tcBorders>
            <w:shd w:val="clear" w:color="auto" w:fill="auto"/>
            <w:noWrap/>
            <w:vAlign w:val="center"/>
            <w:hideMark/>
          </w:tcPr>
          <w:p>
            <w:pPr>
              <w:spacing w:line="240" w:lineRule="auto"/>
              <w:contextualSpacing/>
              <w:jc w:val="center"/>
              <w:rPr>
                <w:rFonts w:ascii="Times New Roman" w:hAnsi="Times New Roman" w:cs="Times New Roman"/>
                <w:b/>
                <w:bCs/>
                <w:color w:val="000000"/>
                <w:sz w:val="26"/>
                <w:szCs w:val="26"/>
              </w:rPr>
            </w:pP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pPr>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2017 год</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2018 год</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pPr>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2019 год </w:t>
            </w:r>
          </w:p>
        </w:tc>
      </w:tr>
      <w:tr>
        <w:trPr>
          <w:trHeight w:val="660"/>
        </w:trPr>
        <w:tc>
          <w:tcPr>
            <w:tcW w:w="567" w:type="dxa"/>
            <w:tcBorders>
              <w:top w:val="nil"/>
              <w:left w:val="single" w:sz="8" w:space="0" w:color="auto"/>
              <w:bottom w:val="single" w:sz="8" w:space="0" w:color="auto"/>
              <w:right w:val="single" w:sz="8" w:space="0" w:color="auto"/>
            </w:tcBorders>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5387"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Загородные стационарные детские оздоровительные лагеря круглогодичного и сезонного действия</w:t>
            </w:r>
          </w:p>
        </w:tc>
        <w:tc>
          <w:tcPr>
            <w:tcW w:w="1276" w:type="dxa"/>
            <w:tcBorders>
              <w:top w:val="nil"/>
              <w:left w:val="nil"/>
              <w:bottom w:val="single" w:sz="8" w:space="0" w:color="auto"/>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258,0</w:t>
            </w:r>
          </w:p>
        </w:tc>
        <w:tc>
          <w:tcPr>
            <w:tcW w:w="1417" w:type="dxa"/>
            <w:tcBorders>
              <w:top w:val="nil"/>
              <w:left w:val="nil"/>
              <w:bottom w:val="single" w:sz="8"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276,0</w:t>
            </w:r>
          </w:p>
        </w:tc>
        <w:tc>
          <w:tcPr>
            <w:tcW w:w="1276" w:type="dxa"/>
            <w:tcBorders>
              <w:top w:val="nil"/>
              <w:left w:val="single" w:sz="4" w:space="0" w:color="auto"/>
              <w:bottom w:val="single" w:sz="8" w:space="0" w:color="auto"/>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288,0</w:t>
            </w:r>
          </w:p>
        </w:tc>
      </w:tr>
      <w:tr>
        <w:trPr>
          <w:trHeight w:val="585"/>
        </w:trPr>
        <w:tc>
          <w:tcPr>
            <w:tcW w:w="567" w:type="dxa"/>
            <w:tcBorders>
              <w:top w:val="nil"/>
              <w:left w:val="single" w:sz="8" w:space="0" w:color="auto"/>
              <w:bottom w:val="single" w:sz="4" w:space="0" w:color="auto"/>
              <w:right w:val="single" w:sz="8" w:space="0" w:color="auto"/>
            </w:tcBorders>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5387" w:type="dxa"/>
            <w:tcBorders>
              <w:top w:val="nil"/>
              <w:left w:val="single" w:sz="8" w:space="0" w:color="auto"/>
              <w:bottom w:val="single" w:sz="4" w:space="0" w:color="auto"/>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Санаторно-оздоровительные учреждения круглогодичного действия</w:t>
            </w:r>
          </w:p>
        </w:tc>
        <w:tc>
          <w:tcPr>
            <w:tcW w:w="1276" w:type="dxa"/>
            <w:tcBorders>
              <w:top w:val="nil"/>
              <w:left w:val="nil"/>
              <w:bottom w:val="single" w:sz="4" w:space="0" w:color="auto"/>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274,0</w:t>
            </w:r>
          </w:p>
        </w:tc>
        <w:tc>
          <w:tcPr>
            <w:tcW w:w="1417" w:type="dxa"/>
            <w:tcBorders>
              <w:top w:val="nil"/>
              <w:left w:val="nil"/>
              <w:bottom w:val="single" w:sz="4"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293,0</w:t>
            </w:r>
          </w:p>
        </w:tc>
        <w:tc>
          <w:tcPr>
            <w:tcW w:w="1276" w:type="dxa"/>
            <w:tcBorders>
              <w:top w:val="nil"/>
              <w:left w:val="single" w:sz="4" w:space="0" w:color="auto"/>
              <w:bottom w:val="single" w:sz="4" w:space="0" w:color="auto"/>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305,0</w:t>
            </w:r>
          </w:p>
        </w:tc>
      </w:tr>
      <w:tr>
        <w:trPr>
          <w:trHeight w:val="300"/>
        </w:trPr>
        <w:tc>
          <w:tcPr>
            <w:tcW w:w="567" w:type="dxa"/>
            <w:tcBorders>
              <w:top w:val="single" w:sz="8" w:space="0" w:color="auto"/>
              <w:left w:val="single" w:sz="8" w:space="0" w:color="auto"/>
              <w:bottom w:val="nil"/>
              <w:right w:val="single" w:sz="8" w:space="0" w:color="auto"/>
            </w:tcBorders>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3.</w:t>
            </w:r>
          </w:p>
        </w:tc>
        <w:tc>
          <w:tcPr>
            <w:tcW w:w="5387" w:type="dxa"/>
            <w:tcBorders>
              <w:top w:val="single" w:sz="8" w:space="0" w:color="auto"/>
              <w:left w:val="single" w:sz="8" w:space="0" w:color="auto"/>
              <w:bottom w:val="nil"/>
              <w:right w:val="single" w:sz="8" w:space="0" w:color="auto"/>
            </w:tcBorders>
            <w:shd w:val="clear" w:color="auto" w:fill="auto"/>
            <w:vAlign w:val="center"/>
            <w:hideMark/>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Лагеря дневного пребывания:</w:t>
            </w:r>
          </w:p>
        </w:tc>
        <w:tc>
          <w:tcPr>
            <w:tcW w:w="1276" w:type="dxa"/>
            <w:tcBorders>
              <w:top w:val="single" w:sz="8" w:space="0" w:color="auto"/>
              <w:left w:val="nil"/>
              <w:bottom w:val="nil"/>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p>
        </w:tc>
        <w:tc>
          <w:tcPr>
            <w:tcW w:w="1417" w:type="dxa"/>
            <w:tcBorders>
              <w:top w:val="single" w:sz="8" w:space="0" w:color="auto"/>
              <w:left w:val="nil"/>
              <w:bottom w:val="nil"/>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p>
        </w:tc>
        <w:tc>
          <w:tcPr>
            <w:tcW w:w="1276" w:type="dxa"/>
            <w:tcBorders>
              <w:top w:val="single" w:sz="8" w:space="0" w:color="auto"/>
              <w:left w:val="single" w:sz="4" w:space="0" w:color="auto"/>
              <w:bottom w:val="nil"/>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p>
        </w:tc>
      </w:tr>
      <w:tr>
        <w:trPr>
          <w:trHeight w:val="300"/>
        </w:trPr>
        <w:tc>
          <w:tcPr>
            <w:tcW w:w="567" w:type="dxa"/>
            <w:tcBorders>
              <w:top w:val="nil"/>
              <w:left w:val="single" w:sz="8" w:space="0" w:color="auto"/>
              <w:bottom w:val="nil"/>
              <w:right w:val="single" w:sz="8" w:space="0" w:color="auto"/>
            </w:tcBorders>
          </w:tcPr>
          <w:p>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nil"/>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 трехразовым питанием</w:t>
            </w:r>
          </w:p>
        </w:tc>
        <w:tc>
          <w:tcPr>
            <w:tcW w:w="1276" w:type="dxa"/>
            <w:tcBorders>
              <w:top w:val="nil"/>
              <w:left w:val="nil"/>
              <w:bottom w:val="nil"/>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194,0</w:t>
            </w:r>
          </w:p>
        </w:tc>
        <w:tc>
          <w:tcPr>
            <w:tcW w:w="1417" w:type="dxa"/>
            <w:tcBorders>
              <w:top w:val="nil"/>
              <w:left w:val="nil"/>
              <w:bottom w:val="nil"/>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207,0</w:t>
            </w:r>
          </w:p>
        </w:tc>
        <w:tc>
          <w:tcPr>
            <w:tcW w:w="1276" w:type="dxa"/>
            <w:tcBorders>
              <w:top w:val="nil"/>
              <w:left w:val="single" w:sz="4" w:space="0" w:color="auto"/>
              <w:bottom w:val="nil"/>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216,0</w:t>
            </w:r>
          </w:p>
        </w:tc>
      </w:tr>
      <w:tr>
        <w:trPr>
          <w:trHeight w:val="315"/>
        </w:trPr>
        <w:tc>
          <w:tcPr>
            <w:tcW w:w="567" w:type="dxa"/>
            <w:tcBorders>
              <w:top w:val="nil"/>
              <w:left w:val="single" w:sz="8" w:space="0" w:color="auto"/>
              <w:bottom w:val="single" w:sz="8" w:space="0" w:color="auto"/>
              <w:right w:val="single" w:sz="8" w:space="0" w:color="auto"/>
            </w:tcBorders>
          </w:tcPr>
          <w:p>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 двухразовым питанием</w:t>
            </w:r>
          </w:p>
        </w:tc>
        <w:tc>
          <w:tcPr>
            <w:tcW w:w="1276" w:type="dxa"/>
            <w:tcBorders>
              <w:top w:val="nil"/>
              <w:left w:val="nil"/>
              <w:bottom w:val="single" w:sz="8" w:space="0" w:color="auto"/>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155,0</w:t>
            </w:r>
          </w:p>
        </w:tc>
        <w:tc>
          <w:tcPr>
            <w:tcW w:w="1417" w:type="dxa"/>
            <w:tcBorders>
              <w:top w:val="nil"/>
              <w:left w:val="nil"/>
              <w:bottom w:val="single" w:sz="8"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165,0</w:t>
            </w:r>
          </w:p>
        </w:tc>
        <w:tc>
          <w:tcPr>
            <w:tcW w:w="1276" w:type="dxa"/>
            <w:tcBorders>
              <w:top w:val="nil"/>
              <w:left w:val="single" w:sz="4" w:space="0" w:color="auto"/>
              <w:bottom w:val="single" w:sz="8" w:space="0" w:color="auto"/>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173,0</w:t>
            </w:r>
          </w:p>
        </w:tc>
      </w:tr>
      <w:tr>
        <w:trPr>
          <w:trHeight w:val="360"/>
        </w:trPr>
        <w:tc>
          <w:tcPr>
            <w:tcW w:w="567" w:type="dxa"/>
            <w:tcBorders>
              <w:top w:val="nil"/>
              <w:left w:val="single" w:sz="8" w:space="0" w:color="auto"/>
              <w:bottom w:val="nil"/>
              <w:right w:val="single" w:sz="8" w:space="0" w:color="auto"/>
            </w:tcBorders>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4.</w:t>
            </w:r>
          </w:p>
        </w:tc>
        <w:tc>
          <w:tcPr>
            <w:tcW w:w="5387" w:type="dxa"/>
            <w:tcBorders>
              <w:top w:val="nil"/>
              <w:left w:val="single" w:sz="8" w:space="0" w:color="auto"/>
              <w:bottom w:val="nil"/>
              <w:right w:val="single" w:sz="8" w:space="0" w:color="auto"/>
            </w:tcBorders>
            <w:shd w:val="clear" w:color="auto" w:fill="auto"/>
            <w:vAlign w:val="center"/>
            <w:hideMark/>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Лагеря труда и отдыха (ЛТО):</w:t>
            </w:r>
          </w:p>
        </w:tc>
        <w:tc>
          <w:tcPr>
            <w:tcW w:w="1276" w:type="dxa"/>
            <w:tcBorders>
              <w:top w:val="nil"/>
              <w:left w:val="nil"/>
              <w:bottom w:val="nil"/>
              <w:right w:val="single" w:sz="8" w:space="0" w:color="auto"/>
            </w:tcBorders>
            <w:shd w:val="clear" w:color="auto" w:fill="auto"/>
            <w:noWrap/>
            <w:vAlign w:val="center"/>
            <w:hideMark/>
          </w:tcPr>
          <w:p>
            <w:pPr>
              <w:spacing w:after="0" w:line="240" w:lineRule="auto"/>
              <w:contextualSpacing/>
              <w:rPr>
                <w:rFonts w:ascii="Times New Roman" w:hAnsi="Times New Roman" w:cs="Times New Roman"/>
                <w:color w:val="000000"/>
                <w:sz w:val="26"/>
                <w:szCs w:val="26"/>
              </w:rPr>
            </w:pPr>
          </w:p>
        </w:tc>
        <w:tc>
          <w:tcPr>
            <w:tcW w:w="1417" w:type="dxa"/>
            <w:tcBorders>
              <w:top w:val="nil"/>
              <w:left w:val="nil"/>
              <w:bottom w:val="nil"/>
              <w:right w:val="single" w:sz="4" w:space="0" w:color="auto"/>
            </w:tcBorders>
            <w:shd w:val="clear" w:color="auto" w:fill="auto"/>
            <w:vAlign w:val="center"/>
            <w:hideMark/>
          </w:tcPr>
          <w:p>
            <w:pPr>
              <w:spacing w:after="0" w:line="240" w:lineRule="auto"/>
              <w:contextualSpacing/>
              <w:jc w:val="center"/>
              <w:rPr>
                <w:rFonts w:ascii="Times New Roman" w:hAnsi="Times New Roman" w:cs="Times New Roman"/>
                <w:color w:val="000000"/>
                <w:sz w:val="26"/>
                <w:szCs w:val="26"/>
              </w:rPr>
            </w:pPr>
          </w:p>
        </w:tc>
        <w:tc>
          <w:tcPr>
            <w:tcW w:w="1276" w:type="dxa"/>
            <w:tcBorders>
              <w:top w:val="nil"/>
              <w:left w:val="single" w:sz="4" w:space="0" w:color="auto"/>
              <w:bottom w:val="nil"/>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p>
        </w:tc>
      </w:tr>
      <w:tr>
        <w:trPr>
          <w:trHeight w:val="330"/>
        </w:trPr>
        <w:tc>
          <w:tcPr>
            <w:tcW w:w="567" w:type="dxa"/>
            <w:tcBorders>
              <w:top w:val="nil"/>
              <w:left w:val="single" w:sz="8" w:space="0" w:color="auto"/>
              <w:bottom w:val="nil"/>
              <w:right w:val="single" w:sz="8" w:space="0" w:color="auto"/>
            </w:tcBorders>
          </w:tcPr>
          <w:p>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nil"/>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 круглосуточным пребыванием</w:t>
            </w:r>
          </w:p>
        </w:tc>
        <w:tc>
          <w:tcPr>
            <w:tcW w:w="1276" w:type="dxa"/>
            <w:tcBorders>
              <w:top w:val="nil"/>
              <w:left w:val="nil"/>
              <w:bottom w:val="nil"/>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319,0</w:t>
            </w:r>
          </w:p>
        </w:tc>
        <w:tc>
          <w:tcPr>
            <w:tcW w:w="1417" w:type="dxa"/>
            <w:tcBorders>
              <w:top w:val="nil"/>
              <w:left w:val="nil"/>
              <w:bottom w:val="nil"/>
              <w:right w:val="single" w:sz="4" w:space="0" w:color="auto"/>
            </w:tcBorders>
            <w:shd w:val="clear" w:color="auto" w:fill="auto"/>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340,0</w:t>
            </w:r>
          </w:p>
        </w:tc>
        <w:tc>
          <w:tcPr>
            <w:tcW w:w="1276" w:type="dxa"/>
            <w:tcBorders>
              <w:top w:val="nil"/>
              <w:left w:val="single" w:sz="4" w:space="0" w:color="auto"/>
              <w:bottom w:val="nil"/>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356,0</w:t>
            </w:r>
          </w:p>
        </w:tc>
      </w:tr>
      <w:tr>
        <w:trPr>
          <w:trHeight w:val="330"/>
        </w:trPr>
        <w:tc>
          <w:tcPr>
            <w:tcW w:w="567" w:type="dxa"/>
            <w:tcBorders>
              <w:top w:val="nil"/>
              <w:left w:val="single" w:sz="8" w:space="0" w:color="auto"/>
              <w:bottom w:val="single" w:sz="4" w:space="0" w:color="auto"/>
              <w:right w:val="single" w:sz="8" w:space="0" w:color="auto"/>
            </w:tcBorders>
          </w:tcPr>
          <w:p>
            <w:pPr>
              <w:spacing w:after="0" w:line="240" w:lineRule="auto"/>
              <w:contextualSpacing/>
              <w:rPr>
                <w:rFonts w:ascii="Times New Roman" w:hAnsi="Times New Roman" w:cs="Times New Roman"/>
                <w:color w:val="000000"/>
                <w:sz w:val="26"/>
                <w:szCs w:val="26"/>
              </w:rPr>
            </w:pPr>
          </w:p>
        </w:tc>
        <w:tc>
          <w:tcPr>
            <w:tcW w:w="5387" w:type="dxa"/>
            <w:tcBorders>
              <w:top w:val="nil"/>
              <w:left w:val="single" w:sz="8" w:space="0" w:color="auto"/>
              <w:bottom w:val="single" w:sz="4" w:space="0" w:color="auto"/>
              <w:right w:val="single" w:sz="8" w:space="0" w:color="auto"/>
            </w:tcBorders>
            <w:shd w:val="clear" w:color="auto" w:fill="auto"/>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 двухразовым питанием</w:t>
            </w:r>
          </w:p>
        </w:tc>
        <w:tc>
          <w:tcPr>
            <w:tcW w:w="1276" w:type="dxa"/>
            <w:tcBorders>
              <w:top w:val="nil"/>
              <w:left w:val="nil"/>
              <w:bottom w:val="single" w:sz="4" w:space="0" w:color="auto"/>
              <w:right w:val="single" w:sz="8"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223,0</w:t>
            </w:r>
          </w:p>
        </w:tc>
        <w:tc>
          <w:tcPr>
            <w:tcW w:w="1417"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238,0</w:t>
            </w:r>
          </w:p>
        </w:tc>
        <w:tc>
          <w:tcPr>
            <w:tcW w:w="1276" w:type="dxa"/>
            <w:tcBorders>
              <w:top w:val="nil"/>
              <w:left w:val="single" w:sz="4" w:space="0" w:color="auto"/>
              <w:bottom w:val="single" w:sz="4" w:space="0" w:color="auto"/>
              <w:right w:val="single" w:sz="8"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249,0</w:t>
            </w:r>
          </w:p>
        </w:tc>
      </w:tr>
      <w:tr>
        <w:trPr>
          <w:trHeight w:val="300"/>
        </w:trPr>
        <w:tc>
          <w:tcPr>
            <w:tcW w:w="567" w:type="dxa"/>
            <w:tcBorders>
              <w:top w:val="single" w:sz="4" w:space="0" w:color="auto"/>
              <w:left w:val="single" w:sz="4" w:space="0" w:color="auto"/>
              <w:bottom w:val="single" w:sz="4" w:space="0" w:color="auto"/>
              <w:right w:val="single" w:sz="4" w:space="0" w:color="auto"/>
            </w:tcBorders>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5.</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Лагеря палаточного типа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258,0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288,0</w:t>
            </w:r>
          </w:p>
        </w:tc>
      </w:tr>
      <w:tr>
        <w:trPr>
          <w:trHeight w:val="315"/>
        </w:trPr>
        <w:tc>
          <w:tcPr>
            <w:tcW w:w="567" w:type="dxa"/>
            <w:tcBorders>
              <w:top w:val="single" w:sz="4" w:space="0" w:color="auto"/>
              <w:left w:val="single" w:sz="4" w:space="0" w:color="auto"/>
              <w:bottom w:val="single" w:sz="4" w:space="0" w:color="auto"/>
              <w:right w:val="single" w:sz="4" w:space="0" w:color="auto"/>
            </w:tcBorders>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6.</w:t>
            </w:r>
          </w:p>
        </w:tc>
        <w:tc>
          <w:tcPr>
            <w:tcW w:w="5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Туристические походы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316,0</w:t>
            </w:r>
          </w:p>
        </w:tc>
      </w:tr>
    </w:tbl>
    <w:p>
      <w:pPr>
        <w:autoSpaceDE w:val="0"/>
        <w:autoSpaceDN w:val="0"/>
        <w:adjustRightInd w:val="0"/>
        <w:spacing w:after="0" w:line="240" w:lineRule="auto"/>
        <w:contextualSpacing/>
        <w:jc w:val="both"/>
        <w:rPr>
          <w:sz w:val="26"/>
          <w:szCs w:val="26"/>
        </w:rPr>
      </w:pP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Смена в детском оздоровительном лагере – это маленькая жизнь. Жизнь, в которой каждый может найти себя, получить массу разнообразных впечатлений и эмоций, узнать, что такое настоящая дружба. Именно поэтому стали традиционными профильные и тематические смены для детей и подростков, активной творческой молодежи Калужской области, которые проводятся в течение всей оздоровительной кампании. В организациях отдыха и оздоровления удалось организовать интересный и содержательный отдых детей. Год от года растет число таких смен, расширяется разнообразие детского отдыха.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период всех школьных каникул в течение всей оздоровительной кампании                2018 года были проведены профильные смены: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Калужской областной Общероссийской общественной организации «Российский союз молодежи» для 1225 творчески активных детей – на базе ГАУЗ КО «Калужский санаторий «Звездный», ДОЛ «Полет» и ООО «Санаторий «Вита» (г. Анапа);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лагеря учебы творческого актива, организованные Муниципальными учреждениями дополнительного образования «Созвездие» (МЭШДОМ) и Городским  молодежным  центром г. Калуги (ЛУТА) для 180 детей – на базе ЗОЛ «Галактика» и МБОУ ДООЦ «Белка»;</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«Если не я, то кто?»  для 80 детей из семей, находящихся в трудной жизненной ситуации, организованная Ассоциацией социальной защиты сотрудников подразделения специального назначения МВД РФ «Братство краповых беретов «Витязь» - на базе ОРК «Ласточка» (филиал ГАУ КО «Центр «Развитие»); </w:t>
      </w:r>
    </w:p>
    <w:p>
      <w:pPr>
        <w:autoSpaceDE w:val="0"/>
        <w:autoSpaceDN w:val="0"/>
        <w:adjustRightInd w:val="0"/>
        <w:spacing w:after="0" w:line="360" w:lineRule="auto"/>
        <w:ind w:firstLine="709"/>
        <w:contextualSpacing/>
        <w:rPr>
          <w:rFonts w:ascii="Times New Roman" w:hAnsi="Times New Roman" w:cs="Times New Roman"/>
          <w:bCs/>
          <w:color w:val="000000"/>
          <w:sz w:val="26"/>
          <w:szCs w:val="26"/>
        </w:rPr>
      </w:pPr>
      <w:r>
        <w:rPr>
          <w:rFonts w:ascii="Times New Roman" w:hAnsi="Times New Roman" w:cs="Times New Roman"/>
          <w:bCs/>
          <w:color w:val="000000"/>
          <w:sz w:val="26"/>
          <w:szCs w:val="26"/>
        </w:rPr>
        <w:t>- традиционный палаточный лагерь «Следопыт» для 60 детей Калужской областной организации скаутов на базе отдыха «Кольцово»;</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«Школа права» для 40 детей из семей, оказавшихся в трудной жизненной ситуации, реализуемая ГБУ ДО Калужской области «Областной центр дополнительного образования детей им. Ю.А. Гагарина» – на базе ГАУЗ КО «Калужский санаторий «Звездный»;</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w:t>
      </w:r>
      <w:r>
        <w:rPr>
          <w:rFonts w:ascii="Times New Roman" w:hAnsi="Times New Roman" w:cs="Times New Roman"/>
          <w:sz w:val="26"/>
          <w:szCs w:val="26"/>
          <w:lang w:val="en-US"/>
        </w:rPr>
        <w:t>ICE</w:t>
      </w:r>
      <w:r>
        <w:rPr>
          <w:rFonts w:ascii="Times New Roman" w:hAnsi="Times New Roman" w:cs="Times New Roman"/>
          <w:sz w:val="26"/>
          <w:szCs w:val="26"/>
        </w:rPr>
        <w:t xml:space="preserve"> – лагерь: Будь в плюсе» для 23 детей, воспитанников ГКО КО «Азаровский детский дом им. В.Т. Попова» и ГБУ КО «Центр содействия семейному воспитанию «Берега» - на базе ЗОЛ «Галактика». </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«Мир профессий» для 141 ребенка на базе Центра отдыха и оздоровления детей и молодежи «Сокол»;</w:t>
      </w:r>
    </w:p>
    <w:p>
      <w:pPr>
        <w:shd w:val="clear" w:color="auto" w:fill="FFFFFF"/>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«Ты, Он, Она – правовая Мы страна!» для уполномоченных по правам участников образовательного процесса и их помощников на базе ЗОЛ «Галактика». В профильной смене приняли участие 70 детей.</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Впервые в этом году в нашем регионе по инициативе Российского Военно-исторического общества на базе ЗОЛ «Галактика» был организован и проведен историко - патриотический лагерь «Парад эпох», целью которого стало  развитие интереса у подростков к истории Отечества, создание условий для патриотического воспитания подростков, формирование активной гражданской позиции. В данной смене прияли участие 120 детей из муниципальных районов и городских округов Калужской области.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Продолжительность смен в оздоровительных организациях  составляет 21 день в летний период и 7-10 дней в каникулярный период (зима, весна,  осень).</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отдыха в оздоровительных учреждениях на территории нашего региона, дети и подростки Калужской области традиционно имеют возможность отдохнуть в лагерях и санаториях на морском побережье. Уже несколько лет калужан гостеприимно принимает АО «Санаторий «Зорька» в поселке Небуг Краснодарского края. По отзывам детей и родителей, отдых  в «Зорьке» становится все интереснее и разнообразнее.  В 2018 году в учреждении отдохнуло 198  юных калужан. Кроме того, 98 детей отдохнули на Азовском море в ДОК «Спутник» (Ростовская область). В рамках региональной квоты на весь 2018 год  в ВДЦ «Орленок» и МДЦ «Артек» отдохнули 220 детей и подростков Калужской области  (в 2017 - 243). </w:t>
      </w: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Приоритетным направлением оздоровительной кампании 2018 года в Калужской области являлась организация отдыха и оздоровления детей, оказавшихся в трудной жизненной ситуации. К данной категории относятся дети из семей, оказавшихся в трудной жизненной ситуации и нуждающихся в особой заботе и поддержке государства. Приобретение путевок в санаторные и оздоровительные учреждения для детей данной категории осуществляется за счет средств областного бюджета в размере полной социальной стоимости путевки, утвержденной в Калужской области. Решением областной межведомственной комиссии по организации отдыха, оздоровления, занятости детей и подростков (протокол от 30.10.2018 № 5) утверждена социальная стоимость путевки на 2019 год.  </w:t>
      </w:r>
    </w:p>
    <w:p>
      <w:pPr>
        <w:autoSpaceDE w:val="0"/>
        <w:autoSpaceDN w:val="0"/>
        <w:adjustRightInd w:val="0"/>
        <w:spacing w:after="0" w:line="240" w:lineRule="auto"/>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5</w:t>
      </w:r>
    </w:p>
    <w:p>
      <w:pPr>
        <w:autoSpaceDE w:val="0"/>
        <w:autoSpaceDN w:val="0"/>
        <w:adjustRightInd w:val="0"/>
        <w:spacing w:after="0" w:line="360" w:lineRule="auto"/>
        <w:ind w:firstLine="709"/>
        <w:contextualSpacing/>
        <w:jc w:val="both"/>
        <w:rPr>
          <w:rFonts w:ascii="Times New Roman" w:hAnsi="Times New Roman" w:cs="Times New Roman"/>
          <w:sz w:val="26"/>
          <w:szCs w:val="26"/>
        </w:rPr>
      </w:pPr>
    </w:p>
    <w:p>
      <w:pPr>
        <w:autoSpaceDE w:val="0"/>
        <w:autoSpaceDN w:val="0"/>
        <w:adjustRightInd w:val="0"/>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Стоимость социальной путевки</w:t>
      </w:r>
    </w:p>
    <w:p>
      <w:pPr>
        <w:autoSpaceDE w:val="0"/>
        <w:autoSpaceDN w:val="0"/>
        <w:adjustRightInd w:val="0"/>
        <w:spacing w:after="0" w:line="360" w:lineRule="auto"/>
        <w:contextualSpacing/>
        <w:jc w:val="center"/>
        <w:rPr>
          <w:rFonts w:ascii="Times New Roman" w:hAnsi="Times New Roman" w:cs="Times New Roman"/>
          <w:b/>
          <w:sz w:val="26"/>
          <w:szCs w:val="26"/>
        </w:rPr>
      </w:pPr>
    </w:p>
    <w:tbl>
      <w:tblPr>
        <w:tblW w:w="9923" w:type="dxa"/>
        <w:tblInd w:w="30" w:type="dxa"/>
        <w:tblLayout w:type="fixed"/>
        <w:tblCellMar>
          <w:left w:w="30" w:type="dxa"/>
          <w:right w:w="30" w:type="dxa"/>
        </w:tblCellMar>
        <w:tblLook w:val="0000" w:firstRow="0" w:lastRow="0" w:firstColumn="0" w:lastColumn="0" w:noHBand="0" w:noVBand="0"/>
      </w:tblPr>
      <w:tblGrid>
        <w:gridCol w:w="6379"/>
        <w:gridCol w:w="1134"/>
        <w:gridCol w:w="1276"/>
        <w:gridCol w:w="1134"/>
      </w:tblGrid>
      <w:tr>
        <w:trPr>
          <w:trHeight w:val="566"/>
        </w:trPr>
        <w:tc>
          <w:tcPr>
            <w:tcW w:w="6379" w:type="dxa"/>
            <w:vMerge w:val="restart"/>
            <w:tcBorders>
              <w:top w:val="single" w:sz="6" w:space="0" w:color="auto"/>
              <w:left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Вид путевки</w:t>
            </w:r>
          </w:p>
        </w:tc>
        <w:tc>
          <w:tcPr>
            <w:tcW w:w="3544" w:type="dxa"/>
            <w:gridSpan w:val="3"/>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Стоимость путевки, руб.</w:t>
            </w:r>
          </w:p>
        </w:tc>
      </w:tr>
      <w:tr>
        <w:trPr>
          <w:trHeight w:val="566"/>
        </w:trPr>
        <w:tc>
          <w:tcPr>
            <w:tcW w:w="6379" w:type="dxa"/>
            <w:vMerge/>
            <w:tcBorders>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2017 год  </w:t>
            </w:r>
          </w:p>
        </w:tc>
        <w:tc>
          <w:tcPr>
            <w:tcW w:w="1276"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2018 год</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2019 год</w:t>
            </w:r>
          </w:p>
        </w:tc>
      </w:tr>
      <w:tr>
        <w:trPr>
          <w:trHeight w:val="695"/>
        </w:trPr>
        <w:tc>
          <w:tcPr>
            <w:tcW w:w="6379" w:type="dxa"/>
            <w:tcBorders>
              <w:top w:val="single" w:sz="6" w:space="0" w:color="auto"/>
              <w:left w:val="single" w:sz="6" w:space="0" w:color="auto"/>
              <w:bottom w:val="single" w:sz="6" w:space="0" w:color="auto"/>
              <w:right w:val="single" w:sz="6" w:space="0" w:color="auto"/>
            </w:tcBorders>
          </w:tcPr>
          <w:p>
            <w:pPr>
              <w:autoSpaceDE w:val="0"/>
              <w:autoSpaceDN w:val="0"/>
              <w:adjustRightInd w:val="0"/>
              <w:spacing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Загородные оздоровительные учреждения сезонного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13 230,0</w:t>
            </w:r>
          </w:p>
        </w:tc>
        <w:tc>
          <w:tcPr>
            <w:tcW w:w="1276"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13 965,0</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15 288,0</w:t>
            </w:r>
          </w:p>
        </w:tc>
      </w:tr>
      <w:tr>
        <w:trPr>
          <w:trHeight w:val="610"/>
        </w:trPr>
        <w:tc>
          <w:tcPr>
            <w:tcW w:w="6379" w:type="dxa"/>
            <w:tcBorders>
              <w:top w:val="single" w:sz="6" w:space="0" w:color="auto"/>
              <w:left w:val="single" w:sz="6" w:space="0" w:color="auto"/>
              <w:bottom w:val="single" w:sz="6" w:space="0" w:color="auto"/>
              <w:right w:val="single" w:sz="6" w:space="0" w:color="auto"/>
            </w:tcBorders>
          </w:tcPr>
          <w:p>
            <w:pPr>
              <w:autoSpaceDE w:val="0"/>
              <w:autoSpaceDN w:val="0"/>
              <w:adjustRightInd w:val="0"/>
              <w:spacing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Загородные оздоровительные учреждения круглогодичного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15 834,0</w:t>
            </w:r>
          </w:p>
        </w:tc>
        <w:tc>
          <w:tcPr>
            <w:tcW w:w="1276"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16 548,0</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17 997,0</w:t>
            </w:r>
          </w:p>
        </w:tc>
      </w:tr>
      <w:tr>
        <w:trPr>
          <w:trHeight w:val="610"/>
        </w:trPr>
        <w:tc>
          <w:tcPr>
            <w:tcW w:w="6379" w:type="dxa"/>
            <w:tcBorders>
              <w:top w:val="single" w:sz="6" w:space="0" w:color="auto"/>
              <w:left w:val="single" w:sz="6" w:space="0" w:color="auto"/>
              <w:bottom w:val="single" w:sz="6" w:space="0" w:color="auto"/>
              <w:right w:val="single" w:sz="6" w:space="0" w:color="auto"/>
            </w:tcBorders>
          </w:tcPr>
          <w:p>
            <w:pPr>
              <w:autoSpaceDE w:val="0"/>
              <w:autoSpaceDN w:val="0"/>
              <w:adjustRightInd w:val="0"/>
              <w:spacing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Санаторные оздоровительные учреждения круглогодичного действия</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18 900,0</w:t>
            </w:r>
          </w:p>
        </w:tc>
        <w:tc>
          <w:tcPr>
            <w:tcW w:w="1276"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20 055,0</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21 609,0</w:t>
            </w:r>
          </w:p>
        </w:tc>
      </w:tr>
      <w:tr>
        <w:trPr>
          <w:trHeight w:val="977"/>
        </w:trPr>
        <w:tc>
          <w:tcPr>
            <w:tcW w:w="6379" w:type="dxa"/>
            <w:tcBorders>
              <w:top w:val="single" w:sz="6" w:space="0" w:color="auto"/>
              <w:left w:val="single" w:sz="6" w:space="0" w:color="auto"/>
              <w:bottom w:val="single" w:sz="6" w:space="0" w:color="auto"/>
              <w:right w:val="single" w:sz="6" w:space="0" w:color="auto"/>
            </w:tcBorders>
          </w:tcPr>
          <w:p>
            <w:pPr>
              <w:autoSpaceDE w:val="0"/>
              <w:autoSpaceDN w:val="0"/>
              <w:adjustRightInd w:val="0"/>
              <w:spacing w:line="240" w:lineRule="auto"/>
              <w:contextualSpacing/>
              <w:rPr>
                <w:rFonts w:ascii="Times New Roman" w:hAnsi="Times New Roman" w:cs="Times New Roman"/>
                <w:color w:val="000000"/>
                <w:sz w:val="26"/>
                <w:szCs w:val="26"/>
              </w:rPr>
            </w:pPr>
            <w:r>
              <w:rPr>
                <w:rFonts w:ascii="Times New Roman" w:hAnsi="Times New Roman" w:cs="Times New Roman"/>
                <w:color w:val="000000"/>
                <w:sz w:val="26"/>
                <w:szCs w:val="26"/>
              </w:rPr>
              <w:t>Санаторные оздоровительные учреждения круглогодичного действия, расположенные на побережье Черного и Азовского морей</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18 900,0</w:t>
            </w:r>
          </w:p>
        </w:tc>
        <w:tc>
          <w:tcPr>
            <w:tcW w:w="1276"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23 100,0</w:t>
            </w:r>
          </w:p>
        </w:tc>
        <w:tc>
          <w:tcPr>
            <w:tcW w:w="1134" w:type="dxa"/>
            <w:tcBorders>
              <w:top w:val="single" w:sz="6" w:space="0" w:color="auto"/>
              <w:left w:val="single" w:sz="6" w:space="0" w:color="auto"/>
              <w:bottom w:val="single" w:sz="6" w:space="0" w:color="auto"/>
              <w:right w:val="single" w:sz="6" w:space="0" w:color="auto"/>
            </w:tcBorders>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23 100,0</w:t>
            </w:r>
          </w:p>
        </w:tc>
      </w:tr>
    </w:tbl>
    <w:p>
      <w:pPr>
        <w:autoSpaceDE w:val="0"/>
        <w:autoSpaceDN w:val="0"/>
        <w:adjustRightInd w:val="0"/>
        <w:spacing w:after="0" w:line="240" w:lineRule="auto"/>
        <w:contextualSpacing/>
        <w:jc w:val="both"/>
        <w:rPr>
          <w:rFonts w:ascii="Times New Roman" w:hAnsi="Times New Roman" w:cs="Times New Roman"/>
          <w:sz w:val="26"/>
          <w:szCs w:val="26"/>
        </w:rPr>
      </w:pPr>
    </w:p>
    <w:p>
      <w:pPr>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детей из семей, находящихся в трудной жизненной ситуации, отдохнувших за период летней оздоровительной кампании 2018 года  – 23 062, что составляет 52 % от общего числа оздоровленных:</w:t>
      </w:r>
    </w:p>
    <w:p>
      <w:pPr>
        <w:autoSpaceDE w:val="0"/>
        <w:autoSpaceDN w:val="0"/>
        <w:adjustRightInd w:val="0"/>
        <w:spacing w:after="0" w:line="360" w:lineRule="auto"/>
        <w:ind w:firstLine="709"/>
        <w:contextualSpacing/>
        <w:jc w:val="both"/>
        <w:rPr>
          <w:rFonts w:ascii="Times New Roman" w:hAnsi="Times New Roman" w:cs="Times New Roman"/>
          <w:sz w:val="26"/>
          <w:szCs w:val="26"/>
        </w:rPr>
      </w:pPr>
    </w:p>
    <w:p>
      <w:pPr>
        <w:autoSpaceDE w:val="0"/>
        <w:autoSpaceDN w:val="0"/>
        <w:adjustRightInd w:val="0"/>
        <w:spacing w:after="0" w:line="240" w:lineRule="auto"/>
        <w:ind w:firstLine="709"/>
        <w:contextualSpacing/>
        <w:jc w:val="both"/>
        <w:rPr>
          <w:rFonts w:ascii="Times New Roman" w:hAnsi="Times New Roman" w:cs="Times New Roman"/>
          <w:sz w:val="26"/>
          <w:szCs w:val="26"/>
        </w:rPr>
      </w:pPr>
    </w:p>
    <w:p>
      <w:pPr>
        <w:autoSpaceDE w:val="0"/>
        <w:autoSpaceDN w:val="0"/>
        <w:adjustRightInd w:val="0"/>
        <w:spacing w:after="0" w:line="240" w:lineRule="auto"/>
        <w:ind w:firstLine="709"/>
        <w:contextualSpacing/>
        <w:jc w:val="both"/>
        <w:rPr>
          <w:rFonts w:ascii="Times New Roman" w:hAnsi="Times New Roman" w:cs="Times New Roman"/>
          <w:sz w:val="26"/>
          <w:szCs w:val="26"/>
        </w:rPr>
      </w:pPr>
    </w:p>
    <w:p>
      <w:pPr>
        <w:autoSpaceDE w:val="0"/>
        <w:autoSpaceDN w:val="0"/>
        <w:adjustRightInd w:val="0"/>
        <w:spacing w:after="0" w:line="240" w:lineRule="auto"/>
        <w:contextualSpacing/>
        <w:jc w:val="both"/>
        <w:rPr>
          <w:rFonts w:ascii="Times New Roman" w:hAnsi="Times New Roman" w:cs="Times New Roman"/>
          <w:sz w:val="26"/>
          <w:szCs w:val="26"/>
        </w:rPr>
      </w:pPr>
      <w:r>
        <w:rPr>
          <w:noProof/>
          <w:color w:val="FF0000"/>
          <w:sz w:val="26"/>
          <w:szCs w:val="26"/>
          <w:lang w:eastAsia="ru-RU"/>
        </w:rPr>
        <w:drawing>
          <wp:inline distT="0" distB="0" distL="0" distR="0">
            <wp:extent cx="6252210" cy="3848100"/>
            <wp:effectExtent l="19050" t="0" r="1524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autoSpaceDE w:val="0"/>
        <w:autoSpaceDN w:val="0"/>
        <w:adjustRightInd w:val="0"/>
        <w:spacing w:after="0" w:line="240" w:lineRule="auto"/>
        <w:ind w:firstLine="709"/>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Диаграмма № 14</w:t>
      </w:r>
    </w:p>
    <w:p>
      <w:pPr>
        <w:pStyle w:val="a6"/>
        <w:ind w:firstLine="709"/>
        <w:contextualSpacing/>
        <w:jc w:val="both"/>
        <w:rPr>
          <w:rFonts w:ascii="Times New Roman" w:hAnsi="Times New Roman"/>
          <w:b/>
          <w:sz w:val="26"/>
          <w:szCs w:val="26"/>
        </w:rPr>
      </w:pP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Особое внимание при организации и проведении летней оздоровительной кампании обращается на обеспечение безопасности детей. Благодаря общей согласованной работе и контролю серьезных инцидентов, аварий на системах водоснабжения, энергоснабжения зарегистрировано не было.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Питание в детских оздоровительных учреждениях было организовано в соответствии с утвержденным примерным меню, которое предусматривает ежедневное использование молока, кисломолочных продуктов, мяса, рыбы, овощей, фруктов.  Во всех стационарных лагерях с круглосуточным пребыванием детей, было организовано 5-ти разовое питание, в лагерях с дневным пребыванием детей – 2-х; 3-х разовое. Во всех учреждениях отдыха и оздоровления проводилась витаминизация блюд, использовалась йодированная соль при приготовлении блюд.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Случаев массовых инфекционных заболеваний, массовых отравлений, фактов жестокого обращения с детьми, побегов из детских оздоровительных учреждений, а также фактов гибели детей в период летней оздоровительной кампании 2018 года в Калужской области не зарегистрировано.</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регионе успешно проводится политика «возвращения» в систему отдыха и оздоровления традиционных объектов отдыха детей.</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 В 2018 году в областную собственность был приобретен Центр отдыха и оздоровления детей и молодежи «Сокол», ранее принадлежавший ОАО «Калужский турбинный завод».</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соответствии с распоряжением Уполномоченного от 05.06.2018 № 18-р проводился мониторинг соблюдения прав детей на отдых, оздоровление, безопасное и полноценное развитие в  детских организациях отдыха и оздоровления, расположенных на территории Калужской области.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ходе мониторинга были посещены 27 организаций отдыха и оздоровления детей, из которых: 11 - лагерей с дневным пребыванием детей; 3 – лагеря палаточного типа; 13- загородных стационарных лагерей.</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Требования законодательства по устройству оздоровительных учреждений и организаций летнего отдыха, в основном соблюдены. Однако, имеют место недостатки и нарушения в работе загородных оздоровительных учреждений, а именно:</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устаревшая материально-техническая база загородных оздоровительных учреждений;</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нарушения при ведении документации пищеблока и медицинского пункта, либо отсутствие документации;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 нарушения при ведении личных дел сотрудников, вожатского состава детских оздоровительных учреждений;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нарушение условий и сроков хранения медицинских средств и продуктов питания;</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несоблюдение сроков хранения суточных проб;</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 некачественная уборка спальных корпусов и территорий оздоровительных учреждений;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 -  нарушения условий хранения уборочного инвентаря;</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нарушение целостности/ отсутствие периметрального ограждения;</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отсутствие/недостаточность систем видеонаблюдения;</w:t>
      </w:r>
    </w:p>
    <w:p>
      <w:pPr>
        <w:pStyle w:val="a6"/>
        <w:spacing w:line="360" w:lineRule="auto"/>
        <w:ind w:firstLine="709"/>
        <w:contextualSpacing/>
        <w:jc w:val="both"/>
        <w:rPr>
          <w:rFonts w:ascii="Times New Roman" w:hAnsi="Times New Roman"/>
          <w:b/>
          <w:sz w:val="26"/>
          <w:szCs w:val="26"/>
        </w:rPr>
      </w:pPr>
      <w:r>
        <w:rPr>
          <w:rFonts w:ascii="Times New Roman" w:hAnsi="Times New Roman"/>
          <w:sz w:val="26"/>
          <w:szCs w:val="26"/>
        </w:rPr>
        <w:t>- непредоставление справок об отсутствии судимости и медицинских книжек на персонал</w:t>
      </w:r>
      <w:r>
        <w:rPr>
          <w:rFonts w:ascii="Times New Roman" w:hAnsi="Times New Roman"/>
          <w:b/>
          <w:sz w:val="26"/>
          <w:szCs w:val="26"/>
        </w:rPr>
        <w:t>.</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палаточном лагере «Цивилизация» ООО «Кемпинг-Сервис», МБОУ ДООЦ «Детский оздоровительно-образовательный (профильный) центр «Белка», палаточном лагере «Победи себя» имелись нарушения в ведении личных медицинских книжек (в части прохождения периодических медицинских осмотров).</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 МБОУ ДООЦ «Белка» на пищеблоке имелись нарушения в ведении журнала здоровья и журнала бракеража готовой продукции. Так, при посещении загородного  оздоровительного учреждения перед обедом, журнал был заполнен на весь текущий день полностью, что говорит о формальном подходе при контроле готовой продукции.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палаточном лагере «Цивилизация» и «Победи себя» не были представлены договора на вывоз мусора, на осуществление охраны территории палаточного лагеря, на поставку продуктов питания, на септик – в «Цивилизации», на акарицидную обработку – в «Победи себя».</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 Во многих детских оздоровительных лагерях в корпусах, спальных комнатах, коридорах отсутствовали термометры. Данное обстоятельство не позволяет определить соблюдение температурного режима.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На территории оздоровительно -  реабилитационного комплекса «Ласточка» (филиал ГАУ КО «Центр «Развитие») и ДОЛ «Чайка» (МБОУ ДОД ДЮСШ «Луч») уже не один год находятся пни от спиленных деревьев, что затрудняет не только безопасное передвижение несовершеннолетних по территории лагеря, но и проведение массовых мероприятий с детьми.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Материально-техническая база указанных лагерей, так же как и ГАОУ ДОД КО «Орленок», крайне изношена. Корпуса всех трех загородных учреждений, пищеблок и медицинский блок ДОЛ «Чайка»  и ГАОУ ДОД КО «Орленок» давно обветшали и требуют серьезной реконструкции. Руководителям данных загородных учреждений и персоналу приходится прикладывать немалые усилия для того, чтобы дети области (а в ОРК «Ласточка» это особые дети – воспитанники интернатных учреждений разных типов) могли получить качественные услуги по отдыху и оздоровлению.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 более выгодном положении находится материально-техническая база ЗОЛ «Галактика», МБОУ ДООЦ «Белка», ГАУЗ КО «Калужский санаторий «Звездный», но без постоянного поддержания в надлежащем состоянии очень скоро придет в негодность.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Денежные средства  на укрепление материально-технической базы учреждений отдыха и оздоровления детей в рамках государственной подпрограммы «Организация отдыха и оздоровления детей Калужской области» не предусмотрены.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 реестре организаций отдыха и оздоровления детей зарегистрированы 8 учреждений, имеющих частную форму собственности. Деятельность ООО «Кэмп Индустрия» Детский оздоровительный лагерь «Робин Гуд» ведется в соответствии с нормами действующего законодательства, полностью отвечает всем требованиям организации стационарных загородных лагерей.  Здесь для детей в возрасте от 7 до 17 лет организован качественный безопасный детский отдых. Общая программа лагеря имеет традиционный набор деятельности для каждого ребенка, но выбранный профиль  позволяет разнообразить отдых полезными занятиями по интересам.  Стоимость путевки на 14 дней в зависимости от наполняемости программы и возраста ребенка составляет от 20 950 до 45 950 руб.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Детский оздоровительный лагерь круглогодичного действия санаторного типа «Вятичи» -  одно из частных учреждений, которое принимает детей в возрасте от 7 до 17 лет, 6 профильных программ рассчитаны на 14 дней, средняя стоимость путевки –                29 260 руб. К сожалению, названные оздоровительные учреждения, находящиеся на территории Калужской области, не работают на прием детей по социальной стоимости путевки, данный факт свидетельствует о том, что детям из семей, находящихся в трудной жизненной ситуации, в период школьных каникул затруднительно побывать в данных учреждениях. Для многих цена путевки слишком велика.</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В то же время деятельность некоторых коммерческих учреждений вызывает огромную озабоченность. Так, спортивно-туристический лагерь палаточного типа «Первый отряд», располагающийся на базе отдыха «Иволга» в с. Спас - Прогнанье Жуковского района Калужской области, имел серьезные замечания со стороны контрольно-надзорных органов. Палаточный лагерь посещался сотрудниками аппарата Уполномоченного, представителями прокуратуры Жуковского района, представителями Роспотребнадзора по Калужской области, а также представителями ОНД Жуковского района ГУ МЧС.</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 нарушение норм действующего законодательства, руководителем палаточного лагеря не было представлено на момент проведения уже шестой оздоровительной смены санитарно-эпидемиологического заключения о соответствии деятельности, осуществляемой организацией отдыха и оздоровления санитарно-эпидемиологическим требованиям к устройству, содержанию и организации режима работы детских туристических лагерей палаточного типа в период летних каникул.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Одновременно с этим не были представлены трудовые договоры, должностные инструкции на сотрудников палаточного лагеря, на руководителя учреждения и медицинского работника отсутствовали медицинские книжки установленного образца. Справка об отсутствии судимости на медицинского работника не была представлена, отсутствовала информация и о прохождении медицинским работником профессиональной подготовки и аттестации. На момент посещения палаточного лагеря медицинский работник на рабочем месте отсутствовал.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Для оказания первой медицинской помощи детям, отдыхающим в палаточном лагере, используется аптечка, комплектация которой утверждена приказом Минздравсоцразвития России от 05.03.2011 № 169 н «Об утверждении требований к комплектации изделиями медицинского назначения аптечек для оказания первой медицинской помощи». Однако в нарушение данного законодательства, перечень медикаментов представлен не был, не оборудован на территории палаточного лагеря и изолятор для заболевших детей.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Территория палаточного лагеря должна быть обозначена по периметру хорошо заметными знаками (флажками, лентами и пр.) или огорожена. В данном лагере такие знаки, ограждения отсутствовали.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Согласно Санитарно-эпидемиологическим требованиям к устройству и организации работы детских лагерей палаточного типа возраст детей должен быть от 10 до 18 лет. В данном палаточном лагере возраст несовершеннолетних отдыхающих начинался с 6 лет.</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Не представилось возможным установить и численный состав отдыхающих детей, поскольку руководителем палаточного лагеря были представлены рукописные списки на 37 несовершеннолетних. Но в ходе мониторинга были выявлены документы на двоих детей, которых в представленных списках не оказалось.</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Руководителем палаточного лагеря не представлены справки по форме 079/-у о состоянии здоровья на двух детей.</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Питание несовершеннолетних отдыхающих в палаточном лагере осуществлялось в близлежащей организации общественного питания (ООО «Витязь»). В нарушение санитарно-эпидемиологических норм и правил суточные пробы имелись только на одни сутки. Отсутствовали также журналы бракеража поступающих пищевых продуктов и продовольственного сырья, бракеража готовой продукции. В состав бракеражной комиссии медицинский работник палаточного лагеря не включен, журнал здоровья отсутствовал.</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Два года подряд на территории ООО «Витязь» «База Иволга» осуществляет свою деятельность детский оздоровительный лагерь ИП Шмундяк В.Л. В период летней оздоровительной кампании 2017 года ИП Шмундяк был внесен в Реестр организаций отдыха детей и их оздоровления в Калужской области. Тогда в деятельности лагеря были выявлены грубые нарушения норм действующего законодательства. Это не помешало ему вновь в 2018 году открыть лагерь, но уже не внося сведений в Реестр организаций отдыха детей и их оздоровления в Калужской области. Санитарно-эпидемиологическое заключение и иные правоустанавливающие документы на организацию деятельности лагеря  по – прежнему отсутствовали.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На территории Калужской области ежегодно работает большое количество коммерческих лагерей, деятельность которых не санкционирована</w:t>
      </w:r>
      <w:r>
        <w:rPr>
          <w:rFonts w:ascii="Times New Roman" w:hAnsi="Times New Roman"/>
          <w:b/>
          <w:sz w:val="26"/>
          <w:szCs w:val="26"/>
        </w:rPr>
        <w:t>,</w:t>
      </w:r>
      <w:r>
        <w:rPr>
          <w:rFonts w:ascii="Times New Roman" w:hAnsi="Times New Roman"/>
          <w:sz w:val="26"/>
          <w:szCs w:val="26"/>
        </w:rPr>
        <w:t xml:space="preserve"> соответственно сведения о них в областном Реестре загородных оздоровительных лагерей отсутствуют. Многие из них умышленно не заявляют данные о лагере в Реестр, с целью избежать проверок контрольно-надзорных органов. Такие учреждения отдыха и оздоровления могут представлять угрозу для жизни и здоровья детей, поскольку их деятельность зачастую не отвечает требованиям безопасности.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Так, в июне 2018 года на территории Юхновского района Калужской области в районе д. Городец на нефункционирующей базе отдыха был обнаружен несанкционированный палаточный лагерь, в котором находились 56 детей и 16 взрослых. Позднее была выявлена еще одна группа в количестве 20 детей. Нарушения, выявленные в ходе проверки данного лагеря, аналогичны нарушениям в палаточном лагере «Первый отряд». Сотрудниками полиции были проведены специальные мероприятия по организации выезда детей, а также обеспечения их безопасности до момента организованного выезда за пределы Калужской области.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Вся информация о выявленных нарушениях была доведена до сведения министерства образования и науки Калужской области и руководителей данных учреждений, глав администраций муниципальных районов.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Подводя итоги летней оздоровительной кампании 2018 года, следует отметить, что работа всех структур, задействованных в организации отдыха и оздоровления детей Калужской области, была направлена на достижение общей цели – повысить  качество отдыха и оздоровления детей,  сделать его безопасным и содержательным. Наряду с этой глобальной задачей, есть и серьезные проблемы, которые необходимо решать в ближайшее время.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Большая часть лагерей построена в 60 – 70  годы и ранее принадлежала крупным заводам или предприятиям, которые, в сою очередь, заботились о материальном благополучии и оснащении оздоровительного учреждения. В настоящее время материально-техническая база почти всех учреждений отдыха и оздоровления Калужской области сильно обветшала, большинство лагерей в районе д. Андреевское закрылись. Назрела необходимость в модернизации, реконструкции и восстановлении загородных оздоровительных учреждений. Необходимо создание на федеральном и региональном уровнях программы по модернизации материально-технической базы загородных оздоровительных учреждений, а также использование средств государственных программ «Доступная среда», «Комфортная городская среда», частных инвестиций.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С целью создания эффективной системы организации отдыха и оздоровления детей и подростков, отвечающей современным требованиям безопасности, содержательности и комфортности, необходимо  принятие федерального закона об отдыхе и оздоровлении детей Российской Федерации. Крайне необходимо - утверждение нормативного правового акта, определяющего обязательный для регионов порядок формирования и ведения реестра загородных оздоровительных учреждений с обязательным включением всех учреждений отдыха и оздоровления детей независимо от организационно-правовой формы. Считаю необходимым, при отсутствии федерального закона, разработать и принять Закон Калужской области «Об отдыхе, оздоровлении, занятости детей и подростков Калужской области». Данное предложение было поддержано членами Экспертного совета при Уполномоченном по правам ребенка в Калужской области.</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 xml:space="preserve">Многочисленные грубые нарушения требований пожарной безопасности, санитарного эпидемиологического законодательства и др., создающие угрозу причинения вреда жизни и здоровью детей, зачастую являются основанием для приостановки деятельности загородного оздоровительного лагеря. Решение же о закрытии оздоровительного учреждения выносится в судебном порядке. Учитывая, что речь идет о жизни и здоровье детей, их безопасности и благополучии, необходимо рассмотреть вопрос об упрощении процедуры приостановки деятельности (закрытии) оздоровительного учреждения, не отвечающего требованиям безопасности.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Также необходимо разработать положения о межведомственном взаимодействии различных структур и ведомств, осуществляющих контроль по выявлению несанкционированного размещения организованных групп детей на объектах, несогласованных с органами исполнительной власти Калужской области, Управлением Роспотребнадзора по Калужской области, территориальными органами внутренних дел по Калужской области.</w:t>
      </w:r>
    </w:p>
    <w:p>
      <w:pPr>
        <w:pStyle w:val="a6"/>
        <w:spacing w:line="360" w:lineRule="auto"/>
        <w:ind w:firstLine="709"/>
        <w:contextualSpacing/>
        <w:jc w:val="both"/>
        <w:rPr>
          <w:rFonts w:ascii="Times New Roman" w:hAnsi="Times New Roman"/>
          <w:color w:val="FF0000"/>
          <w:sz w:val="26"/>
          <w:szCs w:val="26"/>
        </w:rPr>
      </w:pPr>
      <w:r>
        <w:rPr>
          <w:rFonts w:ascii="Times New Roman" w:hAnsi="Times New Roman"/>
          <w:sz w:val="26"/>
          <w:szCs w:val="26"/>
        </w:rPr>
        <w:t>Кроме того, остаются крайне важными вопросы о качественной профессиональной подготовке вожатских кадров, создании актуальной нормативной правовой базы по регламентированию деятельности вожатского состава</w:t>
      </w:r>
      <w:r>
        <w:rPr>
          <w:rFonts w:ascii="Times New Roman" w:hAnsi="Times New Roman"/>
          <w:color w:val="FF0000"/>
          <w:sz w:val="26"/>
          <w:szCs w:val="26"/>
        </w:rPr>
        <w:t xml:space="preserve">. </w:t>
      </w:r>
    </w:p>
    <w:p>
      <w:pPr>
        <w:pStyle w:val="a6"/>
        <w:spacing w:line="360" w:lineRule="auto"/>
        <w:ind w:firstLine="709"/>
        <w:contextualSpacing/>
        <w:jc w:val="both"/>
        <w:rPr>
          <w:rFonts w:ascii="Times New Roman" w:hAnsi="Times New Roman"/>
          <w:sz w:val="26"/>
          <w:szCs w:val="26"/>
        </w:rPr>
      </w:pPr>
      <w:r>
        <w:rPr>
          <w:rFonts w:ascii="Times New Roman" w:hAnsi="Times New Roman"/>
          <w:sz w:val="26"/>
          <w:szCs w:val="26"/>
        </w:rPr>
        <w:t>Отдельно необходимо отметить проблему, которую обозначали все руководители организаций отдыха и оздоровления на заседании Экспертного совета при Уполномоченном, - отсутствие системности и межведомственной согласованности при проведении контрольно-надзорных мероприятий в период летней оздоровительной кампании. За период смены одно учреждение отдыха и оздоровления проверяется разными контрольно-надзорными органами несколько раз, при чём, некоторые вопросы проверок дублируются.</w:t>
      </w:r>
    </w:p>
    <w:p>
      <w:pPr>
        <w:pStyle w:val="a6"/>
        <w:spacing w:line="360" w:lineRule="auto"/>
        <w:ind w:firstLine="709"/>
        <w:contextualSpacing/>
        <w:jc w:val="both"/>
        <w:rPr>
          <w:rFonts w:ascii="Times New Roman" w:hAnsi="Times New Roman"/>
          <w:color w:val="FF0000"/>
          <w:sz w:val="26"/>
          <w:szCs w:val="26"/>
        </w:rPr>
      </w:pPr>
      <w:r>
        <w:rPr>
          <w:rFonts w:ascii="Times New Roman" w:hAnsi="Times New Roman"/>
          <w:sz w:val="26"/>
          <w:szCs w:val="26"/>
        </w:rPr>
        <w:t>Целесообразно разработать положение о проведении проверок организаций отдыха и оздоровления, уделив особое внимание вопросам обмена информацией по результатам проверок, и утверждать межведомственный план проведения проверок организаций отдыха и оздоровления.</w:t>
      </w: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jc w:val="center"/>
        <w:rPr>
          <w:rFonts w:ascii="Times New Roman" w:hAnsi="Times New Roman" w:cs="Times New Roman"/>
          <w:b/>
          <w:noProof/>
          <w:sz w:val="26"/>
          <w:szCs w:val="26"/>
          <w:lang w:eastAsia="ru-RU"/>
        </w:rPr>
      </w:pPr>
      <w:r>
        <w:rPr>
          <w:rFonts w:ascii="Times New Roman" w:hAnsi="Times New Roman" w:cs="Times New Roman"/>
          <w:b/>
          <w:noProof/>
          <w:sz w:val="26"/>
          <w:szCs w:val="26"/>
          <w:lang w:eastAsia="ru-RU"/>
        </w:rPr>
        <w:t>2.4. ПРАВО НА ОБРАЗОВАНИЕ</w:t>
      </w:r>
    </w:p>
    <w:p>
      <w:pPr>
        <w:spacing w:line="240" w:lineRule="auto"/>
        <w:contextualSpacing/>
        <w:jc w:val="center"/>
        <w:rPr>
          <w:rFonts w:ascii="Times New Roman" w:hAnsi="Times New Roman" w:cs="Times New Roman"/>
          <w:b/>
          <w:noProof/>
          <w:sz w:val="26"/>
          <w:szCs w:val="26"/>
          <w:lang w:eastAsia="ru-RU"/>
        </w:rPr>
      </w:pP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Доступность общего образования в Калужской области обеспечивает сеть общеобразовательных организаций: 320 муниципальных, 15 государственных и 13 негосударственных учреждений с общей численностью обучающихся 106 881 человек. Количество дошкольных учреждений – 230, количество специальных (коррекционных) классов для детей с ограниченными возможностями здоровья в общеобразовательных учреждениях – 34, количество общеобразовательных школ-интернатов - 2; количество специальных (коррекционных) образовательных учреждений для обучающихся, воспитанников с ограниченными возможностями здоровья – 11; количество образовательных учреждений для детей-сирот и детей, оставшихся без попечения родителей, - 2; количество образовательных учреждений для детей, нуждающихся в психолого-педагогической и медико-социальной помощи – 6.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развития системы дошкольного образования в Калужской области реализуется комплекс мероприятий, направленный на решение следующих задач:</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 сохранение стопроцентной доступности дошкольного образования для детей в возрасте от 3 до 7 лет;</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 увеличение охвата детей в возрасте до 3 лет, получающих образовательные услуги по дошкольному образованию и услуги по присмотру и уходу;</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 удовлетворение потребностей населения в предоставлении качественного дошкольного образования.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2017/18 учебном году в Калужской области функционировала сеть образовательных организаций, реализующих программы дошкольного образования, к которой относятся 348 образовательных организаций: – 230 дошкольных образовательных организаций (в том числе 218 муниципальных и государственных, 12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 – 118 общеобразовательных организаций с дошкольными группами.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Калужской области услугами дошкольного образования в различных формах было охвачено 49 799 детей, что составляет 97,3% детского населения в возрасте от 1 года до 7,5 лет в том числе: – в возрасте от 3 до 7 лет— 42 601 (100% от общего числа детей, желающих получать дошкольные образовательные услуги); – в возрасте от 1 года до 3 лет - 7 198 (83,9% от общего числа детей, желающих получать дошкольные образовательные услуги). По состоянию на май 2018 года уже 50 204 детей охвачены дошкольным образованием.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Наряду с традиционными формами дошкольного образования реализуется вариативная модель дошкольного образования - группы кратковременного пребывания на базе дошкольных и общеобразовательных организаций, созданных с целью обеспечения всестороннего развития и социализации детей раннего и дошкольного возраста. Всего функционируют 98 групп кратковременного пребывания, которые посещают 1 280 детей.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Отсутствует тенденция развития таких форм вариативного дошкольного образование как частные детские сады, детские сады семейного типа. На протяжении последних трех лет количество частных дошкольных учреждений: 2016 год – 10, 2017 год – 12, 2018 – 12, количество детских садов семейного типа - 1. В двух частных детских садах открыто 65 новых мест. В силу отсутствия дополнительных мер государственной поддержки, льгот, компенсаций в данной сфере не повышается уровень инвестиционной привлекательности.</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 вопросам доступности дошкольного образования относится процедура устройства детей в дошкольные образовательные организации, которая включает в себя использование сервисных услуг при постановке в электронную очередь для определения в детский сад. С целью обеспечения открытости процесса комплектования дошкольных образовательных организаций в декабре 2017 года министерством образования и науки Калужской области совместно с ПАО «Ростелеком» организован ряд мероприятий по переносу данных АИС «Электронная очередь в ДОО Калужской области» в государственную информационную систему «Сетевой город. Образование» Калужской области. В настоящее время электронные услуги доступны на Едином портале государственных услуг, а также на региональном портале государственных и муниципальных услуг по адресу: https://entry.admoblkaluga.ru/. Постоянное совершенствование сервисных электронных услуг способствует повышению прозрачности и обеспечению справедливости при организации процесса зачисления детей в ДОО. В условиях решения проблемы доступности образования для детей от 3 до 7 лет формируется и имеет тенденцию к росту запрос населения на услуги по развитию детей в раннем возрасте. В соответствии с мероприятиями подпрограммы «Развитие дошкольного образования» государственной программы Калужской области «Развитие образования в Калужской области» была продолжена работа по созданию новых мест для детей дошкольного возраста: – за счет эффективного использования помещений в         г. Обнинске создано 100 мест в МБДОУ «Детский сад № 27 «Золотая рыбка»,             МБДОУ № 2 «Палех» и МБДОУ «ЦРР— детский сад «Ласточка»; – введены в эксплуатацию в микрорайоне Правобережье города Калуги два необособленных структурных подразделения МБДОУ «Детство» г. Калуги «Цветочный город» на 120 мест и «Акварель» на 350 мест. Всего в результате проведенных мероприятий создано 635 новых мест.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Значительно сокращена очередь в дошкольные образовательные организации для детей в возрасте от полутора до трех лет. В 22 муниципальных районах области очередь в детские сады для детей в возрасте до трех лет отсутствует. В то же время существующая сеть образовательных организаций не удовлетворяет в полной мере растущие запросы населения на услуги дошкольного образования для детей в возрасте от 2 месяцев до 3 лет и очередь детей для получения услуги дошкольного образования сохраняется. </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уменьшилось количество обращений к Уполномоченному, связанных с отказом в приеме в детские дошкольные учреждения по причине отсутствия мест в учреждениях. В основном в обращениях ставились вопросы о предоставлении мест в ясельных группах в возрасте от 2 до 3-х лет, о предоставлении мест в садах детям, не имеющим регистрации по месту жительства в населенном пункте фактического проживания. Данная проблематика актуальна, в основном, для городских поселений нашего региона. Так, в связи со сложной жизненной ситуацией, необходимостью матери прервать отпуск по уходу за ребенком и приступить к трудовым обязанностям, при обращении Уполномоченного в уполномоченный орган местного самоуправления в сфере управления образованием города Калуги, были предложены несколько наиболее территориально удобных расположенных детских дошкольных учреждений. А в городе Обнинск родителям будущей воспитанницы, не имеющей регистрации по месту жительства, предложили свободное место в одном из недалеко расположенных ДОУ.</w:t>
      </w:r>
    </w:p>
    <w:p>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июне 2018 года Управление Роспотребнадзора по Калужской области определило складывающуюся эпидемиологическую обстановку в отношении кори в регионе как неблагополучную и в связи с этим обязал уполномоченные органы в сфере  образования обеспечить временный отказ в приеме в детские дошкольные образовательные и оздоровительные учреждения детей, не привитых против кори и не болевших данной инфекцией. В связи с данной ситуацией в адрес Уполномоченного поступали жалобы от родителей, чьи дети не были привиты от кори, в том числе и по медицинским показаниям, на ограничение прав их детей на образование.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 xml:space="preserve">В целях обеспечения прав несовершеннолетних на образование в условиях неблагоприятной эпидемиологической обстановки в Калужской области в рамках межведомственного взаимодействия Уполномоченного и органов государственной власти на территории Калужской области сложившаяся ситуация в регионе с отказами в приеме в дошкольные образовательные и общеобразовательные учреждения проанализирована, дана правовая оценка сложившимся обстоятельствам.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В результате, Постановлением Главного государственного санитарного врача по Калужской области от 03.09.2018 № 12 внесены изменения в Постановление Главного санитарного врача по Калужской области от 28.06.2018 № 9 в части недопущения в образовательные организации и оздоровительные учреждения Калужской области детей без документально подтвержденного прививочного анамнеза против коревой инфекции только в случае возникновения очага коревой инфекции.</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 xml:space="preserve">В 2018 году в Калужской области проводились мероприятия по созданию новых мест в общеобразовательных организациях. Целью проведения данных мероприятий является обеспечение односменного режима обучения в 1–11 классах общеобразовательных организаций, а также ремонт зданий общеобразовательных организаций, имеющих высокий процент физического износа. </w:t>
      </w:r>
      <w:r>
        <w:rPr>
          <w:rFonts w:ascii="Times New Roman" w:hAnsi="Times New Roman" w:cs="Times New Roman"/>
          <w:sz w:val="26"/>
          <w:szCs w:val="26"/>
        </w:rPr>
        <w:tab/>
        <w:t xml:space="preserve">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В мае 2018 года введено в эксплуатацию здание общеобразовательной школы на 1000 мест в районе д. Чижовка Калуги (микрорайон Веснушки), структурное подразделение МБОУ «Средняя общеобразовательная школа № 13» г. Калуги.</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Здание школы трехэтажное, состоит из шести блоков, объединенных между собой коридорами. Школа оснащена современными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Особое значение придается созданию условий для обучения детей с ограниченными возможностями здоровья.</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Большое внимание в инфраструктуре школы уделено спортивно-оздоровительному аспекту. В школе предусмотрено три спортивных зала, на территории школы размещены открытые спортивные площадки, позволяющие заниматься различными видами спорта.</w:t>
      </w:r>
      <w:r>
        <w:rPr>
          <w:rFonts w:ascii="Times New Roman" w:hAnsi="Times New Roman" w:cs="Times New Roman"/>
          <w:sz w:val="26"/>
          <w:szCs w:val="26"/>
        </w:rPr>
        <w:tab/>
        <w:t xml:space="preserve">Создание новых мест в общеобразовательных организациях проводится и иными малозатратными способами - путем оптимизации загруженности школ, в том числе эффективного использования имеющихся помещений школ, повышения эффективности использования помещений образовательных организаций разных типов, включая образовательные организации дополнительного образования, профессионального и высшего образования, иные организации, проведение организационных кадровых решений.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 xml:space="preserve">Одним из критериев оценки качества образования обучающихся </w:t>
      </w:r>
      <w:r>
        <w:rPr>
          <w:rFonts w:ascii="Times New Roman" w:hAnsi="Times New Roman" w:cs="Times New Roman"/>
          <w:bCs/>
          <w:sz w:val="26"/>
          <w:szCs w:val="26"/>
        </w:rPr>
        <w:t xml:space="preserve">общеобразовательных организаций </w:t>
      </w:r>
      <w:r>
        <w:rPr>
          <w:rFonts w:ascii="Times New Roman" w:hAnsi="Times New Roman" w:cs="Times New Roman"/>
          <w:sz w:val="26"/>
          <w:szCs w:val="26"/>
        </w:rPr>
        <w:t xml:space="preserve">являются результаты единого </w:t>
      </w:r>
      <w:r>
        <w:rPr>
          <w:rFonts w:ascii="Times New Roman" w:hAnsi="Times New Roman" w:cs="Times New Roman"/>
          <w:bCs/>
          <w:sz w:val="26"/>
          <w:szCs w:val="26"/>
        </w:rPr>
        <w:t xml:space="preserve">государственного </w:t>
      </w:r>
      <w:r>
        <w:rPr>
          <w:rFonts w:ascii="Times New Roman" w:hAnsi="Times New Roman" w:cs="Times New Roman"/>
          <w:sz w:val="26"/>
          <w:szCs w:val="26"/>
        </w:rPr>
        <w:t xml:space="preserve">экзамена (ЕГЭ). Так, средний </w:t>
      </w:r>
      <w:r>
        <w:rPr>
          <w:rFonts w:ascii="Times New Roman" w:hAnsi="Times New Roman" w:cs="Times New Roman"/>
          <w:bCs/>
          <w:sz w:val="26"/>
          <w:szCs w:val="26"/>
        </w:rPr>
        <w:t xml:space="preserve">балл </w:t>
      </w:r>
      <w:r>
        <w:rPr>
          <w:rFonts w:ascii="Times New Roman" w:hAnsi="Times New Roman" w:cs="Times New Roman"/>
          <w:sz w:val="26"/>
          <w:szCs w:val="26"/>
        </w:rPr>
        <w:t xml:space="preserve">ЕГЭ по Калужской области по обязательным учебным предметам (русский язык, математика) в 2018 году был </w:t>
      </w:r>
      <w:r>
        <w:rPr>
          <w:rFonts w:ascii="Times New Roman" w:hAnsi="Times New Roman" w:cs="Times New Roman"/>
          <w:bCs/>
          <w:sz w:val="26"/>
          <w:szCs w:val="26"/>
        </w:rPr>
        <w:t xml:space="preserve">выше, </w:t>
      </w:r>
      <w:r>
        <w:rPr>
          <w:rFonts w:ascii="Times New Roman" w:hAnsi="Times New Roman" w:cs="Times New Roman"/>
          <w:sz w:val="26"/>
          <w:szCs w:val="26"/>
        </w:rPr>
        <w:t xml:space="preserve">чем в 2017 году. В 2018 году не получили документ о среднем общем образовании - 0,9 % выпускников (2017 г. - 1, 2 %; 2016 г. - </w:t>
      </w:r>
      <w:r>
        <w:rPr>
          <w:rFonts w:ascii="Times New Roman" w:hAnsi="Times New Roman" w:cs="Times New Roman"/>
          <w:bCs/>
          <w:sz w:val="26"/>
          <w:szCs w:val="26"/>
        </w:rPr>
        <w:t xml:space="preserve">1 </w:t>
      </w:r>
      <w:r>
        <w:rPr>
          <w:rFonts w:ascii="Times New Roman" w:hAnsi="Times New Roman" w:cs="Times New Roman"/>
          <w:sz w:val="26"/>
          <w:szCs w:val="26"/>
        </w:rPr>
        <w:t>%, 2015 г. – 2,7 %).</w:t>
      </w:r>
    </w:p>
    <w:p>
      <w:pPr>
        <w:spacing w:after="0" w:line="360" w:lineRule="auto"/>
        <w:contextualSpacing/>
        <w:jc w:val="both"/>
        <w:rPr>
          <w:rFonts w:ascii="Times New Roman" w:hAnsi="Times New Roman" w:cs="Times New Roman"/>
          <w:sz w:val="26"/>
          <w:szCs w:val="26"/>
        </w:rPr>
      </w:pPr>
      <w:r>
        <w:rPr>
          <w:rFonts w:ascii="Times New Roman" w:hAnsi="Times New Roman" w:cs="Times New Roman"/>
          <w:sz w:val="26"/>
          <w:szCs w:val="26"/>
        </w:rPr>
        <w:tab/>
        <w:t xml:space="preserve">В соответствии с приказом Министерства образования и науки Российской Федерации от 20.10.2017 № 1025 «О проведении мониторинга качества образования» в 2018 году на территории Калужской области проводился мониторинг </w:t>
      </w:r>
      <w:r>
        <w:rPr>
          <w:rFonts w:ascii="Times New Roman" w:hAnsi="Times New Roman" w:cs="Times New Roman"/>
          <w:bCs/>
          <w:sz w:val="26"/>
          <w:szCs w:val="26"/>
        </w:rPr>
        <w:t xml:space="preserve">качества </w:t>
      </w:r>
      <w:r>
        <w:rPr>
          <w:rFonts w:ascii="Times New Roman" w:hAnsi="Times New Roman" w:cs="Times New Roman"/>
          <w:sz w:val="26"/>
          <w:szCs w:val="26"/>
        </w:rPr>
        <w:t xml:space="preserve">подготовки </w:t>
      </w:r>
      <w:r>
        <w:rPr>
          <w:rFonts w:ascii="Times New Roman" w:hAnsi="Times New Roman" w:cs="Times New Roman"/>
          <w:bCs/>
          <w:sz w:val="26"/>
          <w:szCs w:val="26"/>
        </w:rPr>
        <w:t xml:space="preserve">обучающихся </w:t>
      </w:r>
      <w:r>
        <w:rPr>
          <w:rFonts w:ascii="Times New Roman" w:hAnsi="Times New Roman" w:cs="Times New Roman"/>
          <w:sz w:val="26"/>
          <w:szCs w:val="26"/>
        </w:rPr>
        <w:t>в различных формах.</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Всероссийские проверочные работы (далее - ВПР) были организованы в 4, 5, 6, 10 и 11 классах.</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Распределение обучающихся по отметкам, полученным за выполнение заданий ВП</w:t>
      </w:r>
      <w:r>
        <w:rPr>
          <w:rFonts w:ascii="Times New Roman" w:eastAsia="Times New Roman" w:hAnsi="Times New Roman" w:cs="Times New Roman"/>
          <w:color w:val="000000"/>
          <w:sz w:val="26"/>
          <w:szCs w:val="26"/>
          <w:lang w:val="en-US"/>
        </w:rPr>
        <w:t>P</w:t>
      </w:r>
      <w:r>
        <w:rPr>
          <w:rFonts w:ascii="Times New Roman" w:eastAsia="Times New Roman" w:hAnsi="Times New Roman" w:cs="Times New Roman"/>
          <w:color w:val="000000"/>
          <w:sz w:val="26"/>
          <w:szCs w:val="26"/>
        </w:rPr>
        <w:t xml:space="preserve">, в Калужской области также по всем предметам смещено в сторону более высоких результатов по сравнению с данными по Российской Федерации. Вместе с тем по некоторым предметам процент выполнения ВПР едва ли превысил половину от </w:t>
      </w:r>
      <w:r>
        <w:rPr>
          <w:rFonts w:ascii="Times New Roman" w:eastAsia="Times New Roman" w:hAnsi="Times New Roman" w:cs="Times New Roman"/>
          <w:bCs/>
          <w:color w:val="000000"/>
          <w:sz w:val="26"/>
          <w:szCs w:val="26"/>
        </w:rPr>
        <w:t xml:space="preserve">возможного </w:t>
      </w:r>
      <w:r>
        <w:rPr>
          <w:rFonts w:ascii="Times New Roman" w:eastAsia="Times New Roman" w:hAnsi="Times New Roman" w:cs="Times New Roman"/>
          <w:color w:val="000000"/>
          <w:sz w:val="26"/>
          <w:szCs w:val="26"/>
        </w:rPr>
        <w:t xml:space="preserve">максимума (математика в 5 и 6 </w:t>
      </w:r>
      <w:r>
        <w:rPr>
          <w:rFonts w:ascii="Times New Roman" w:eastAsia="Times New Roman" w:hAnsi="Times New Roman" w:cs="Times New Roman"/>
          <w:bCs/>
          <w:color w:val="000000"/>
          <w:sz w:val="26"/>
          <w:szCs w:val="26"/>
        </w:rPr>
        <w:t xml:space="preserve">классах, </w:t>
      </w:r>
      <w:r>
        <w:rPr>
          <w:rFonts w:ascii="Times New Roman" w:eastAsia="Times New Roman" w:hAnsi="Times New Roman" w:cs="Times New Roman"/>
          <w:color w:val="000000"/>
          <w:sz w:val="26"/>
          <w:szCs w:val="26"/>
        </w:rPr>
        <w:t>история в 6 классах).</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К числу районов с наиболее низким процентом выполнения ВНР можно отнести Тарусский район (русский язык в 4 кл. - 65,8%, русский язык в 5 кл. – 52,5%. </w:t>
      </w:r>
      <w:r>
        <w:rPr>
          <w:rFonts w:ascii="Times New Roman" w:eastAsia="Times New Roman" w:hAnsi="Times New Roman" w:cs="Times New Roman"/>
          <w:bCs/>
          <w:color w:val="000000"/>
          <w:sz w:val="26"/>
          <w:szCs w:val="26"/>
        </w:rPr>
        <w:t xml:space="preserve">математика </w:t>
      </w:r>
      <w:r>
        <w:rPr>
          <w:rFonts w:ascii="Times New Roman" w:eastAsia="Times New Roman" w:hAnsi="Times New Roman" w:cs="Times New Roman"/>
          <w:color w:val="000000"/>
          <w:sz w:val="26"/>
          <w:szCs w:val="26"/>
        </w:rPr>
        <w:t>в 5 кл. - 43,8%, математика в 6 кл. - 45,8%).</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К числу муниципальных образований с наиболее высоким процентом </w:t>
      </w:r>
      <w:r>
        <w:rPr>
          <w:rFonts w:ascii="Times New Roman" w:eastAsia="Times New Roman" w:hAnsi="Times New Roman" w:cs="Times New Roman"/>
          <w:bCs/>
          <w:color w:val="000000"/>
          <w:sz w:val="26"/>
          <w:szCs w:val="26"/>
        </w:rPr>
        <w:t xml:space="preserve">выполнения </w:t>
      </w:r>
      <w:r>
        <w:rPr>
          <w:rFonts w:ascii="Times New Roman" w:eastAsia="Times New Roman" w:hAnsi="Times New Roman" w:cs="Times New Roman"/>
          <w:color w:val="000000"/>
          <w:sz w:val="26"/>
          <w:szCs w:val="26"/>
        </w:rPr>
        <w:t xml:space="preserve">ВПР - Кировский район (русский язык в 4 кл, - 76,2%, русский язык в 5 кл. - </w:t>
      </w:r>
      <w:r>
        <w:rPr>
          <w:rFonts w:ascii="Times New Roman" w:eastAsia="Times New Roman" w:hAnsi="Times New Roman" w:cs="Times New Roman"/>
          <w:bCs/>
          <w:color w:val="000000"/>
          <w:sz w:val="26"/>
          <w:szCs w:val="26"/>
        </w:rPr>
        <w:t xml:space="preserve">66,6%, </w:t>
      </w:r>
      <w:r>
        <w:rPr>
          <w:rFonts w:ascii="Times New Roman" w:eastAsia="Times New Roman" w:hAnsi="Times New Roman" w:cs="Times New Roman"/>
          <w:color w:val="000000"/>
          <w:sz w:val="26"/>
          <w:szCs w:val="26"/>
        </w:rPr>
        <w:t>математика в 5 кл. - 57,4%, математика в 6 кл. — 63,2%).</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2018 году независимая оценка качества условий осуществления образовательной деятельности </w:t>
      </w:r>
      <w:r>
        <w:rPr>
          <w:rFonts w:ascii="Times New Roman" w:eastAsia="Times New Roman" w:hAnsi="Times New Roman" w:cs="Times New Roman"/>
          <w:bCs/>
          <w:color w:val="000000"/>
          <w:sz w:val="26"/>
          <w:szCs w:val="26"/>
        </w:rPr>
        <w:t xml:space="preserve">организациями, </w:t>
      </w:r>
      <w:r>
        <w:rPr>
          <w:rFonts w:ascii="Times New Roman" w:eastAsia="Times New Roman" w:hAnsi="Times New Roman" w:cs="Times New Roman"/>
          <w:color w:val="000000"/>
          <w:sz w:val="26"/>
          <w:szCs w:val="26"/>
        </w:rPr>
        <w:t xml:space="preserve">осуществляющими образовательную деятельность, была проведена в отношении 221 организации. 18 мая 2018 г. на заседании общественного совета при министерстве образования и науки Калужской области по проведению независимой оценки качества </w:t>
      </w:r>
      <w:r>
        <w:rPr>
          <w:rFonts w:ascii="Times New Roman" w:eastAsia="Times New Roman" w:hAnsi="Times New Roman" w:cs="Times New Roman"/>
          <w:bCs/>
          <w:color w:val="000000"/>
          <w:sz w:val="26"/>
          <w:szCs w:val="26"/>
        </w:rPr>
        <w:t xml:space="preserve">условий </w:t>
      </w:r>
      <w:r>
        <w:rPr>
          <w:rFonts w:ascii="Times New Roman" w:eastAsia="Times New Roman" w:hAnsi="Times New Roman" w:cs="Times New Roman"/>
          <w:color w:val="000000"/>
          <w:sz w:val="26"/>
          <w:szCs w:val="26"/>
        </w:rPr>
        <w:t>осуществления образовательной деятельности был определен перечень организаций для проведения независимой оценки:</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- 10 государственных образовательных организаций;</w:t>
      </w:r>
    </w:p>
    <w:p>
      <w:pPr>
        <w:numPr>
          <w:ilvl w:val="0"/>
          <w:numId w:val="1"/>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198 муниципальных образовательных организаций;</w:t>
      </w:r>
    </w:p>
    <w:p>
      <w:pPr>
        <w:numPr>
          <w:ilvl w:val="0"/>
          <w:numId w:val="1"/>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 частных образовательных организаций.</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период с 4 июня по 23 августа на основании государственного контракта, заключенного министерством образования и науки </w:t>
      </w:r>
      <w:r>
        <w:rPr>
          <w:rFonts w:ascii="Times New Roman" w:eastAsia="Times New Roman" w:hAnsi="Times New Roman" w:cs="Times New Roman"/>
          <w:bCs/>
          <w:color w:val="000000"/>
          <w:sz w:val="26"/>
          <w:szCs w:val="26"/>
        </w:rPr>
        <w:t xml:space="preserve">Калужской </w:t>
      </w:r>
      <w:r>
        <w:rPr>
          <w:rFonts w:ascii="Times New Roman" w:eastAsia="Times New Roman" w:hAnsi="Times New Roman" w:cs="Times New Roman"/>
          <w:color w:val="000000"/>
          <w:sz w:val="26"/>
          <w:szCs w:val="26"/>
        </w:rPr>
        <w:t xml:space="preserve">области с </w:t>
      </w:r>
      <w:r>
        <w:rPr>
          <w:rFonts w:ascii="Times New Roman" w:eastAsia="Times New Roman" w:hAnsi="Times New Roman" w:cs="Times New Roman"/>
          <w:bCs/>
          <w:color w:val="000000"/>
          <w:sz w:val="26"/>
          <w:szCs w:val="26"/>
        </w:rPr>
        <w:t xml:space="preserve">Государственным </w:t>
      </w:r>
      <w:r>
        <w:rPr>
          <w:rFonts w:ascii="Times New Roman" w:eastAsia="Times New Roman" w:hAnsi="Times New Roman" w:cs="Times New Roman"/>
          <w:color w:val="000000"/>
          <w:sz w:val="26"/>
          <w:szCs w:val="26"/>
        </w:rPr>
        <w:t xml:space="preserve">бюджетным учреждением Калужской области «Агентство </w:t>
      </w:r>
      <w:r>
        <w:rPr>
          <w:rFonts w:ascii="Times New Roman" w:eastAsia="Times New Roman" w:hAnsi="Times New Roman" w:cs="Times New Roman"/>
          <w:bCs/>
          <w:color w:val="000000"/>
          <w:sz w:val="26"/>
          <w:szCs w:val="26"/>
        </w:rPr>
        <w:t xml:space="preserve">информационных технологий </w:t>
      </w:r>
      <w:r>
        <w:rPr>
          <w:rFonts w:ascii="Times New Roman" w:eastAsia="Times New Roman" w:hAnsi="Times New Roman" w:cs="Times New Roman"/>
          <w:color w:val="000000"/>
          <w:sz w:val="26"/>
          <w:szCs w:val="26"/>
        </w:rPr>
        <w:t xml:space="preserve">Калужской области» указанная организация осуществляла сбор и </w:t>
      </w:r>
      <w:r>
        <w:rPr>
          <w:rFonts w:ascii="Times New Roman" w:eastAsia="Times New Roman" w:hAnsi="Times New Roman" w:cs="Times New Roman"/>
          <w:bCs/>
          <w:color w:val="000000"/>
          <w:sz w:val="26"/>
          <w:szCs w:val="26"/>
        </w:rPr>
        <w:t xml:space="preserve">обобщение информации </w:t>
      </w:r>
      <w:r>
        <w:rPr>
          <w:rFonts w:ascii="Times New Roman" w:eastAsia="Times New Roman" w:hAnsi="Times New Roman" w:cs="Times New Roman"/>
          <w:color w:val="000000"/>
          <w:sz w:val="26"/>
          <w:szCs w:val="26"/>
        </w:rPr>
        <w:t xml:space="preserve">о качестве условий осуществления образовательной деятельности </w:t>
      </w:r>
      <w:r>
        <w:rPr>
          <w:rFonts w:ascii="Times New Roman" w:eastAsia="Times New Roman" w:hAnsi="Times New Roman" w:cs="Times New Roman"/>
          <w:bCs/>
          <w:color w:val="000000"/>
          <w:sz w:val="26"/>
          <w:szCs w:val="26"/>
        </w:rPr>
        <w:t xml:space="preserve">образовательными организациями </w:t>
      </w:r>
      <w:r>
        <w:rPr>
          <w:rFonts w:ascii="Times New Roman" w:eastAsia="Times New Roman" w:hAnsi="Times New Roman" w:cs="Times New Roman"/>
          <w:color w:val="000000"/>
          <w:sz w:val="26"/>
          <w:szCs w:val="26"/>
        </w:rPr>
        <w:t>Калужской области.</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ab/>
        <w:t xml:space="preserve">Критериями </w:t>
      </w:r>
      <w:r>
        <w:rPr>
          <w:rFonts w:ascii="Times New Roman" w:eastAsia="Times New Roman" w:hAnsi="Times New Roman" w:cs="Times New Roman"/>
          <w:color w:val="000000"/>
          <w:sz w:val="26"/>
          <w:szCs w:val="26"/>
        </w:rPr>
        <w:t xml:space="preserve">независимой опенки выступали такие «общие показатели» как: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Открытость </w:t>
      </w:r>
      <w:r>
        <w:rPr>
          <w:rFonts w:ascii="Times New Roman" w:eastAsia="Times New Roman" w:hAnsi="Times New Roman" w:cs="Times New Roman"/>
          <w:bCs/>
          <w:color w:val="000000"/>
          <w:sz w:val="26"/>
          <w:szCs w:val="26"/>
        </w:rPr>
        <w:t xml:space="preserve">и </w:t>
      </w:r>
      <w:r>
        <w:rPr>
          <w:rFonts w:ascii="Times New Roman" w:eastAsia="Times New Roman" w:hAnsi="Times New Roman" w:cs="Times New Roman"/>
          <w:color w:val="000000"/>
          <w:sz w:val="26"/>
          <w:szCs w:val="26"/>
        </w:rPr>
        <w:t xml:space="preserve">доступность информации об организациях, осуществляющих образовательную </w:t>
      </w:r>
      <w:r>
        <w:rPr>
          <w:rFonts w:ascii="Times New Roman" w:eastAsia="Times New Roman" w:hAnsi="Times New Roman" w:cs="Times New Roman"/>
          <w:bCs/>
          <w:color w:val="000000"/>
          <w:sz w:val="26"/>
          <w:szCs w:val="26"/>
        </w:rPr>
        <w:t>деятельность.</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Комфортность </w:t>
      </w:r>
      <w:r>
        <w:rPr>
          <w:rFonts w:ascii="Times New Roman" w:eastAsia="Times New Roman" w:hAnsi="Times New Roman" w:cs="Times New Roman"/>
          <w:bCs/>
          <w:color w:val="000000"/>
          <w:sz w:val="26"/>
          <w:szCs w:val="26"/>
        </w:rPr>
        <w:t xml:space="preserve">условий, </w:t>
      </w:r>
      <w:r>
        <w:rPr>
          <w:rFonts w:ascii="Times New Roman" w:eastAsia="Times New Roman" w:hAnsi="Times New Roman" w:cs="Times New Roman"/>
          <w:color w:val="000000"/>
          <w:sz w:val="26"/>
          <w:szCs w:val="26"/>
        </w:rPr>
        <w:t xml:space="preserve">в которых </w:t>
      </w:r>
      <w:r>
        <w:rPr>
          <w:rFonts w:ascii="Times New Roman" w:eastAsia="Times New Roman" w:hAnsi="Times New Roman" w:cs="Times New Roman"/>
          <w:bCs/>
          <w:color w:val="000000"/>
          <w:sz w:val="26"/>
          <w:szCs w:val="26"/>
        </w:rPr>
        <w:t xml:space="preserve">осуществляется </w:t>
      </w:r>
      <w:r>
        <w:rPr>
          <w:rFonts w:ascii="Times New Roman" w:eastAsia="Times New Roman" w:hAnsi="Times New Roman" w:cs="Times New Roman"/>
          <w:color w:val="000000"/>
          <w:sz w:val="26"/>
          <w:szCs w:val="26"/>
        </w:rPr>
        <w:t>образовательная деятельность.</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Доброжелательность, вежливость работников.</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 Удовлетворенность условиями ведения образовательной деятельности организаций, а также доступность услуг для </w:t>
      </w:r>
      <w:r>
        <w:rPr>
          <w:rFonts w:ascii="Times New Roman" w:eastAsia="Times New Roman" w:hAnsi="Times New Roman" w:cs="Times New Roman"/>
          <w:bCs/>
          <w:color w:val="000000"/>
          <w:sz w:val="26"/>
          <w:szCs w:val="26"/>
        </w:rPr>
        <w:t>инвалидов.</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В</w:t>
      </w:r>
      <w:r>
        <w:rPr>
          <w:rFonts w:ascii="Times New Roman" w:eastAsia="Times New Roman" w:hAnsi="Times New Roman" w:cs="Times New Roman"/>
          <w:bCs/>
          <w:color w:val="000000"/>
          <w:sz w:val="26"/>
          <w:szCs w:val="26"/>
        </w:rPr>
        <w:t xml:space="preserve"> </w:t>
      </w:r>
      <w:r>
        <w:rPr>
          <w:rFonts w:ascii="Times New Roman" w:eastAsia="Times New Roman" w:hAnsi="Times New Roman" w:cs="Times New Roman"/>
          <w:color w:val="000000"/>
          <w:sz w:val="26"/>
          <w:szCs w:val="26"/>
        </w:rPr>
        <w:t>лидирующую группу организаций, получивших оценку «отлично» по результатам независимой оценки, вошли 14 организаций (12 общеобразовательных организаций, 2 профессиональные образовательные организации), что составляет 6, 3 % от всех организаций, подлежащих оценке в 2018 году.</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Оценку «хорошо» получили 203 организации (86 общеобразовательных организаций, 82 дошкольные образовательные организации, 4 профессиональных образовательных организаций, 28 организаций дополнительного образования, 3 организации дополнительного профессионального образования), </w:t>
      </w:r>
      <w:r>
        <w:rPr>
          <w:rFonts w:ascii="Times New Roman" w:eastAsia="Times New Roman" w:hAnsi="Times New Roman" w:cs="Times New Roman"/>
          <w:bCs/>
          <w:color w:val="000000"/>
          <w:sz w:val="26"/>
          <w:szCs w:val="26"/>
        </w:rPr>
        <w:t xml:space="preserve">что </w:t>
      </w:r>
      <w:r>
        <w:rPr>
          <w:rFonts w:ascii="Times New Roman" w:eastAsia="Times New Roman" w:hAnsi="Times New Roman" w:cs="Times New Roman"/>
          <w:color w:val="000000"/>
          <w:sz w:val="26"/>
          <w:szCs w:val="26"/>
        </w:rPr>
        <w:t xml:space="preserve">составляет 91,8 % от всех </w:t>
      </w:r>
      <w:r>
        <w:rPr>
          <w:rFonts w:ascii="Times New Roman" w:eastAsia="Times New Roman" w:hAnsi="Times New Roman" w:cs="Times New Roman"/>
          <w:bCs/>
          <w:color w:val="000000"/>
          <w:sz w:val="26"/>
          <w:szCs w:val="26"/>
        </w:rPr>
        <w:t xml:space="preserve">организаций, </w:t>
      </w:r>
      <w:r>
        <w:rPr>
          <w:rFonts w:ascii="Times New Roman" w:eastAsia="Times New Roman" w:hAnsi="Times New Roman" w:cs="Times New Roman"/>
          <w:color w:val="000000"/>
          <w:sz w:val="26"/>
          <w:szCs w:val="26"/>
        </w:rPr>
        <w:t>подлежащих оценке в 2018 году.</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«Удовлетворительно» оценены 3 организации: МБОУ «Средняя общеобразовательная школа № 44» г. Калуги»,  МКДОУ «Детский сад «Сказка» с. Вязовна Бабынинского района Калужской области, МКДОУ «Детский сад «Алёнушка»,                   д. Подборки Козельского </w:t>
      </w:r>
      <w:r>
        <w:rPr>
          <w:rFonts w:ascii="Times New Roman" w:eastAsia="Times New Roman" w:hAnsi="Times New Roman" w:cs="Times New Roman"/>
          <w:bCs/>
          <w:color w:val="000000"/>
          <w:sz w:val="26"/>
          <w:szCs w:val="26"/>
        </w:rPr>
        <w:t xml:space="preserve">района </w:t>
      </w:r>
      <w:r>
        <w:rPr>
          <w:rFonts w:ascii="Times New Roman" w:eastAsia="Times New Roman" w:hAnsi="Times New Roman" w:cs="Times New Roman"/>
          <w:color w:val="000000"/>
          <w:sz w:val="26"/>
          <w:szCs w:val="26"/>
        </w:rPr>
        <w:t xml:space="preserve">Калужской области (1,4%), </w:t>
      </w:r>
      <w:r>
        <w:rPr>
          <w:rFonts w:ascii="Times New Roman" w:eastAsia="Times New Roman" w:hAnsi="Times New Roman" w:cs="Times New Roman"/>
          <w:bCs/>
          <w:color w:val="000000"/>
          <w:sz w:val="26"/>
          <w:szCs w:val="26"/>
        </w:rPr>
        <w:t xml:space="preserve">«неудовлетворительно» </w:t>
      </w:r>
      <w:r>
        <w:rPr>
          <w:rFonts w:ascii="Times New Roman" w:eastAsia="Times New Roman" w:hAnsi="Times New Roman" w:cs="Times New Roman"/>
          <w:color w:val="000000"/>
          <w:sz w:val="26"/>
          <w:szCs w:val="26"/>
        </w:rPr>
        <w:t>- Частное общеобразовательное учреждение «Православная гимназия в г. Калуге»               (0,4 %).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Качество условий осуществления образовательной деятельности </w:t>
      </w:r>
      <w:r>
        <w:rPr>
          <w:rFonts w:ascii="Times New Roman" w:eastAsia="Times New Roman" w:hAnsi="Times New Roman" w:cs="Times New Roman"/>
          <w:bCs/>
          <w:color w:val="000000"/>
          <w:sz w:val="26"/>
          <w:szCs w:val="26"/>
        </w:rPr>
        <w:t xml:space="preserve">(«пятерки» </w:t>
      </w:r>
      <w:r>
        <w:rPr>
          <w:rFonts w:ascii="Times New Roman" w:eastAsia="Times New Roman" w:hAnsi="Times New Roman" w:cs="Times New Roman"/>
          <w:color w:val="000000"/>
          <w:sz w:val="26"/>
          <w:szCs w:val="26"/>
        </w:rPr>
        <w:t xml:space="preserve">и «четверки») </w:t>
      </w:r>
      <w:r>
        <w:rPr>
          <w:rFonts w:ascii="Times New Roman" w:eastAsia="Times New Roman" w:hAnsi="Times New Roman" w:cs="Times New Roman"/>
          <w:bCs/>
          <w:color w:val="000000"/>
          <w:sz w:val="26"/>
          <w:szCs w:val="26"/>
        </w:rPr>
        <w:t xml:space="preserve">образовательными </w:t>
      </w:r>
      <w:r>
        <w:rPr>
          <w:rFonts w:ascii="Times New Roman" w:eastAsia="Times New Roman" w:hAnsi="Times New Roman" w:cs="Times New Roman"/>
          <w:color w:val="000000"/>
          <w:sz w:val="26"/>
          <w:szCs w:val="26"/>
        </w:rPr>
        <w:t>организациями на территории Калужской области составляет в 2018 году 98,2 %.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В адрес Уполномоченного в рамках обеспечения права на образование, доступности и качества образования поступают обращения, связанные с зачислением детей в первый класс, выбора общеобразовательного учреждения, предоставлением бюджетных мест, обеспечения надлежащих условий получения образования. Так, участие Уполномоченного в указанной ситуации позволило зачислить несовершеннолетнего жителя города Обнинска в одну из школ, где уже обучаются его старшие братья. В другом случае Уполномоченный содействовал зачислению несовершеннолетнего ребенка из Луганска на бюджетное место в учреждение профессионального образования.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С каждым годом увеличивается количество обращений в адрес Уполномоченного, связанные с конфликтными ситуациями в образовательных учреждениях. Если в 2017 году их число составило 27, то в 2018 году возросло до 45. Основные вопросы таких обращений - конфликты между обучающимися, конфликты, связанные с девиантным поведением детей и т.д.</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Система психологического обеспечения образования в </w:t>
      </w:r>
      <w:r>
        <w:rPr>
          <w:rFonts w:ascii="Times New Roman" w:eastAsia="Times New Roman" w:hAnsi="Times New Roman" w:cs="Times New Roman"/>
          <w:bCs/>
          <w:color w:val="000000"/>
          <w:sz w:val="26"/>
          <w:szCs w:val="26"/>
        </w:rPr>
        <w:t xml:space="preserve">Калужской </w:t>
      </w:r>
      <w:r>
        <w:rPr>
          <w:rFonts w:ascii="Times New Roman" w:eastAsia="Times New Roman" w:hAnsi="Times New Roman" w:cs="Times New Roman"/>
          <w:color w:val="000000"/>
          <w:sz w:val="26"/>
          <w:szCs w:val="26"/>
        </w:rPr>
        <w:t xml:space="preserve">области представлена штатными педагогами-психологами </w:t>
      </w:r>
      <w:r>
        <w:rPr>
          <w:rFonts w:ascii="Times New Roman" w:eastAsia="Times New Roman" w:hAnsi="Times New Roman" w:cs="Times New Roman"/>
          <w:bCs/>
          <w:color w:val="000000"/>
          <w:sz w:val="26"/>
          <w:szCs w:val="26"/>
        </w:rPr>
        <w:t xml:space="preserve">образовательных организаций, </w:t>
      </w:r>
      <w:r>
        <w:rPr>
          <w:rFonts w:ascii="Times New Roman" w:eastAsia="Times New Roman" w:hAnsi="Times New Roman" w:cs="Times New Roman"/>
          <w:color w:val="000000"/>
          <w:sz w:val="26"/>
          <w:szCs w:val="26"/>
        </w:rPr>
        <w:t xml:space="preserve">специалистами </w:t>
      </w:r>
      <w:r>
        <w:rPr>
          <w:rFonts w:ascii="Times New Roman" w:eastAsia="Times New Roman" w:hAnsi="Times New Roman" w:cs="Times New Roman"/>
          <w:bCs/>
          <w:color w:val="000000"/>
          <w:sz w:val="26"/>
          <w:szCs w:val="26"/>
        </w:rPr>
        <w:t xml:space="preserve">шести центров </w:t>
      </w:r>
      <w:r>
        <w:rPr>
          <w:rFonts w:ascii="Times New Roman" w:eastAsia="Times New Roman" w:hAnsi="Times New Roman" w:cs="Times New Roman"/>
          <w:color w:val="000000"/>
          <w:sz w:val="26"/>
          <w:szCs w:val="26"/>
        </w:rPr>
        <w:t xml:space="preserve">психолого-педагогической, </w:t>
      </w:r>
      <w:r>
        <w:rPr>
          <w:rFonts w:ascii="Times New Roman" w:eastAsia="Times New Roman" w:hAnsi="Times New Roman" w:cs="Times New Roman"/>
          <w:bCs/>
          <w:color w:val="000000"/>
          <w:sz w:val="26"/>
          <w:szCs w:val="26"/>
        </w:rPr>
        <w:t xml:space="preserve">медицинской </w:t>
      </w:r>
      <w:r>
        <w:rPr>
          <w:rFonts w:ascii="Times New Roman" w:eastAsia="Times New Roman" w:hAnsi="Times New Roman" w:cs="Times New Roman"/>
          <w:color w:val="000000"/>
          <w:sz w:val="26"/>
          <w:szCs w:val="26"/>
        </w:rPr>
        <w:t xml:space="preserve">и </w:t>
      </w:r>
      <w:r>
        <w:rPr>
          <w:rFonts w:ascii="Times New Roman" w:eastAsia="Times New Roman" w:hAnsi="Times New Roman" w:cs="Times New Roman"/>
          <w:bCs/>
          <w:color w:val="000000"/>
          <w:sz w:val="26"/>
          <w:szCs w:val="26"/>
        </w:rPr>
        <w:t xml:space="preserve">социальной </w:t>
      </w:r>
      <w:r>
        <w:rPr>
          <w:rFonts w:ascii="Times New Roman" w:eastAsia="Times New Roman" w:hAnsi="Times New Roman" w:cs="Times New Roman"/>
          <w:color w:val="000000"/>
          <w:sz w:val="26"/>
          <w:szCs w:val="26"/>
        </w:rPr>
        <w:t xml:space="preserve">помощи, методических </w:t>
      </w:r>
      <w:r>
        <w:rPr>
          <w:rFonts w:ascii="Times New Roman" w:eastAsia="Times New Roman" w:hAnsi="Times New Roman" w:cs="Times New Roman"/>
          <w:bCs/>
          <w:color w:val="000000"/>
          <w:sz w:val="26"/>
          <w:szCs w:val="26"/>
        </w:rPr>
        <w:t xml:space="preserve">центров </w:t>
      </w:r>
      <w:r>
        <w:rPr>
          <w:rFonts w:ascii="Times New Roman" w:eastAsia="Times New Roman" w:hAnsi="Times New Roman" w:cs="Times New Roman"/>
          <w:color w:val="000000"/>
          <w:sz w:val="26"/>
          <w:szCs w:val="26"/>
        </w:rPr>
        <w:t xml:space="preserve">и </w:t>
      </w:r>
      <w:r>
        <w:rPr>
          <w:rFonts w:ascii="Times New Roman" w:eastAsia="Times New Roman" w:hAnsi="Times New Roman" w:cs="Times New Roman"/>
          <w:bCs/>
          <w:color w:val="000000"/>
          <w:sz w:val="26"/>
          <w:szCs w:val="26"/>
        </w:rPr>
        <w:t xml:space="preserve">специалистами пяти </w:t>
      </w:r>
      <w:r>
        <w:rPr>
          <w:rFonts w:ascii="Times New Roman" w:eastAsia="Times New Roman" w:hAnsi="Times New Roman" w:cs="Times New Roman"/>
          <w:color w:val="000000"/>
          <w:sz w:val="26"/>
          <w:szCs w:val="26"/>
        </w:rPr>
        <w:t>психолого-медико-педагогических комиссий.</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Основные задачи, которые решают психологические службы Калужской области:</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ab/>
        <w:t xml:space="preserve">Психологическое обеспечение реализации образовательных программ с целью адаптации их содержания и способов освоения к интеллектуальным и личностным возможностям и особенностям обучающихся и </w:t>
      </w:r>
      <w:r>
        <w:rPr>
          <w:rFonts w:ascii="Times New Roman" w:eastAsia="Times New Roman" w:hAnsi="Times New Roman" w:cs="Times New Roman"/>
          <w:bCs/>
          <w:color w:val="000000"/>
          <w:sz w:val="26"/>
          <w:szCs w:val="26"/>
        </w:rPr>
        <w:t>воспитанников.</w:t>
      </w:r>
    </w:p>
    <w:p>
      <w:pPr>
        <w:numPr>
          <w:ilvl w:val="0"/>
          <w:numId w:val="2"/>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Содействие полноценному личностному и интеллектуальному развитию детей на каждом возрастном этапе, содействие формированию у них способности к саморазвитию, самоопределению, самореализации.</w:t>
      </w:r>
    </w:p>
    <w:p>
      <w:pPr>
        <w:numPr>
          <w:ilvl w:val="0"/>
          <w:numId w:val="2"/>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Разработка и внедрение психологических программ и проектов, направленных на профилактику асоциальных явлений (наркомании, социального </w:t>
      </w:r>
      <w:r>
        <w:rPr>
          <w:rFonts w:ascii="Times New Roman" w:eastAsia="Times New Roman" w:hAnsi="Times New Roman" w:cs="Times New Roman"/>
          <w:bCs/>
          <w:color w:val="000000"/>
          <w:sz w:val="26"/>
          <w:szCs w:val="26"/>
        </w:rPr>
        <w:t xml:space="preserve">сиротства, </w:t>
      </w:r>
      <w:r>
        <w:rPr>
          <w:rFonts w:ascii="Times New Roman" w:eastAsia="Times New Roman" w:hAnsi="Times New Roman" w:cs="Times New Roman"/>
          <w:color w:val="000000"/>
          <w:sz w:val="26"/>
          <w:szCs w:val="26"/>
        </w:rPr>
        <w:t xml:space="preserve">насилия в </w:t>
      </w:r>
      <w:r>
        <w:rPr>
          <w:rFonts w:ascii="Times New Roman" w:eastAsia="Times New Roman" w:hAnsi="Times New Roman" w:cs="Times New Roman"/>
          <w:bCs/>
          <w:color w:val="000000"/>
          <w:sz w:val="26"/>
          <w:szCs w:val="26"/>
        </w:rPr>
        <w:t xml:space="preserve">семье </w:t>
      </w:r>
      <w:r>
        <w:rPr>
          <w:rFonts w:ascii="Times New Roman" w:eastAsia="Times New Roman" w:hAnsi="Times New Roman" w:cs="Times New Roman"/>
          <w:color w:val="000000"/>
          <w:sz w:val="26"/>
          <w:szCs w:val="26"/>
        </w:rPr>
        <w:t xml:space="preserve">и др.), трудностей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адаптации, обучении и воспитании, </w:t>
      </w:r>
      <w:r>
        <w:rPr>
          <w:rFonts w:ascii="Times New Roman" w:eastAsia="Times New Roman" w:hAnsi="Times New Roman" w:cs="Times New Roman"/>
          <w:bCs/>
          <w:color w:val="000000"/>
          <w:sz w:val="26"/>
          <w:szCs w:val="26"/>
        </w:rPr>
        <w:t xml:space="preserve">нарушений </w:t>
      </w:r>
      <w:r>
        <w:rPr>
          <w:rFonts w:ascii="Times New Roman" w:eastAsia="Times New Roman" w:hAnsi="Times New Roman" w:cs="Times New Roman"/>
          <w:color w:val="000000"/>
          <w:sz w:val="26"/>
          <w:szCs w:val="26"/>
        </w:rPr>
        <w:t xml:space="preserve">в поведении, </w:t>
      </w:r>
      <w:r>
        <w:rPr>
          <w:rFonts w:ascii="Times New Roman" w:eastAsia="Times New Roman" w:hAnsi="Times New Roman" w:cs="Times New Roman"/>
          <w:bCs/>
          <w:color w:val="000000"/>
          <w:sz w:val="26"/>
          <w:szCs w:val="26"/>
        </w:rPr>
        <w:t xml:space="preserve">развитии </w:t>
      </w:r>
      <w:r>
        <w:rPr>
          <w:rFonts w:ascii="Times New Roman" w:eastAsia="Times New Roman" w:hAnsi="Times New Roman" w:cs="Times New Roman"/>
          <w:color w:val="000000"/>
          <w:sz w:val="26"/>
          <w:szCs w:val="26"/>
        </w:rPr>
        <w:t>обучающихся, воспитанников.</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bCs/>
          <w:color w:val="000000"/>
          <w:sz w:val="26"/>
          <w:szCs w:val="26"/>
        </w:rPr>
        <w:t xml:space="preserve">Содействие </w:t>
      </w:r>
      <w:r>
        <w:rPr>
          <w:rFonts w:ascii="Times New Roman" w:eastAsia="Times New Roman" w:hAnsi="Times New Roman" w:cs="Times New Roman"/>
          <w:color w:val="000000"/>
          <w:sz w:val="26"/>
          <w:szCs w:val="26"/>
        </w:rPr>
        <w:t xml:space="preserve">педагогическим работникам, родителям (законным </w:t>
      </w:r>
      <w:r>
        <w:rPr>
          <w:rFonts w:ascii="Times New Roman" w:eastAsia="Times New Roman" w:hAnsi="Times New Roman" w:cs="Times New Roman"/>
          <w:bCs/>
          <w:color w:val="000000"/>
          <w:sz w:val="26"/>
          <w:szCs w:val="26"/>
        </w:rPr>
        <w:t xml:space="preserve">представителям) </w:t>
      </w:r>
      <w:r>
        <w:rPr>
          <w:rFonts w:ascii="Times New Roman" w:eastAsia="Times New Roman" w:hAnsi="Times New Roman" w:cs="Times New Roman"/>
          <w:color w:val="000000"/>
          <w:sz w:val="26"/>
          <w:szCs w:val="26"/>
        </w:rPr>
        <w:t xml:space="preserve">в создании </w:t>
      </w:r>
      <w:r>
        <w:rPr>
          <w:rFonts w:ascii="Times New Roman" w:eastAsia="Times New Roman" w:hAnsi="Times New Roman" w:cs="Times New Roman"/>
          <w:bCs/>
          <w:color w:val="000000"/>
          <w:sz w:val="26"/>
          <w:szCs w:val="26"/>
        </w:rPr>
        <w:t xml:space="preserve">благоприятного </w:t>
      </w:r>
      <w:r>
        <w:rPr>
          <w:rFonts w:ascii="Times New Roman" w:eastAsia="Times New Roman" w:hAnsi="Times New Roman" w:cs="Times New Roman"/>
          <w:color w:val="000000"/>
          <w:sz w:val="26"/>
          <w:szCs w:val="26"/>
        </w:rPr>
        <w:t xml:space="preserve">для развития ребенка психологического климата (в семье, в </w:t>
      </w:r>
      <w:r>
        <w:rPr>
          <w:rFonts w:ascii="Times New Roman" w:eastAsia="Times New Roman" w:hAnsi="Times New Roman" w:cs="Times New Roman"/>
          <w:bCs/>
          <w:color w:val="000000"/>
          <w:sz w:val="26"/>
          <w:szCs w:val="26"/>
        </w:rPr>
        <w:t xml:space="preserve">образовательной </w:t>
      </w:r>
      <w:r>
        <w:rPr>
          <w:rFonts w:ascii="Times New Roman" w:eastAsia="Times New Roman" w:hAnsi="Times New Roman" w:cs="Times New Roman"/>
          <w:color w:val="000000"/>
          <w:sz w:val="26"/>
          <w:szCs w:val="26"/>
        </w:rPr>
        <w:t>организации).</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Содействие обучающимся в выборе профессионального и образовательного маршрута.</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 Участие </w:t>
      </w:r>
      <w:r>
        <w:rPr>
          <w:rFonts w:ascii="Times New Roman" w:eastAsia="Times New Roman" w:hAnsi="Times New Roman" w:cs="Times New Roman"/>
          <w:bCs/>
          <w:color w:val="000000"/>
          <w:sz w:val="26"/>
          <w:szCs w:val="26"/>
        </w:rPr>
        <w:t xml:space="preserve">в разработке </w:t>
      </w:r>
      <w:r>
        <w:rPr>
          <w:rFonts w:ascii="Times New Roman" w:eastAsia="Times New Roman" w:hAnsi="Times New Roman" w:cs="Times New Roman"/>
          <w:color w:val="000000"/>
          <w:sz w:val="26"/>
          <w:szCs w:val="26"/>
        </w:rPr>
        <w:t xml:space="preserve">и </w:t>
      </w:r>
      <w:r>
        <w:rPr>
          <w:rFonts w:ascii="Times New Roman" w:eastAsia="Times New Roman" w:hAnsi="Times New Roman" w:cs="Times New Roman"/>
          <w:bCs/>
          <w:color w:val="000000"/>
          <w:sz w:val="26"/>
          <w:szCs w:val="26"/>
        </w:rPr>
        <w:t xml:space="preserve">реализации </w:t>
      </w:r>
      <w:r>
        <w:rPr>
          <w:rFonts w:ascii="Times New Roman" w:eastAsia="Times New Roman" w:hAnsi="Times New Roman" w:cs="Times New Roman"/>
          <w:color w:val="000000"/>
          <w:sz w:val="26"/>
          <w:szCs w:val="26"/>
        </w:rPr>
        <w:t xml:space="preserve">комплексного </w:t>
      </w:r>
      <w:r>
        <w:rPr>
          <w:rFonts w:ascii="Times New Roman" w:eastAsia="Times New Roman" w:hAnsi="Times New Roman" w:cs="Times New Roman"/>
          <w:bCs/>
          <w:color w:val="000000"/>
          <w:sz w:val="26"/>
          <w:szCs w:val="26"/>
        </w:rPr>
        <w:t xml:space="preserve">индивидуально </w:t>
      </w:r>
      <w:r>
        <w:rPr>
          <w:rFonts w:ascii="Times New Roman" w:eastAsia="Times New Roman" w:hAnsi="Times New Roman" w:cs="Times New Roman"/>
          <w:color w:val="000000"/>
          <w:sz w:val="26"/>
          <w:szCs w:val="26"/>
        </w:rPr>
        <w:t xml:space="preserve">ориентированного психолого-медико-педагогического сопровождения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условиях </w:t>
      </w:r>
      <w:r>
        <w:rPr>
          <w:rFonts w:ascii="Times New Roman" w:eastAsia="Times New Roman" w:hAnsi="Times New Roman" w:cs="Times New Roman"/>
          <w:bCs/>
          <w:color w:val="000000"/>
          <w:sz w:val="26"/>
          <w:szCs w:val="26"/>
        </w:rPr>
        <w:t xml:space="preserve">образовательного </w:t>
      </w:r>
      <w:r>
        <w:rPr>
          <w:rFonts w:ascii="Times New Roman" w:eastAsia="Times New Roman" w:hAnsi="Times New Roman" w:cs="Times New Roman"/>
          <w:color w:val="000000"/>
          <w:sz w:val="26"/>
          <w:szCs w:val="26"/>
        </w:rPr>
        <w:t>процесса обучающихся с особыми образовательными потребностями с учетом состояния здоровья и особенностей психофизического развития.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7. Участие в </w:t>
      </w:r>
      <w:r>
        <w:rPr>
          <w:rFonts w:ascii="Times New Roman" w:eastAsia="Times New Roman" w:hAnsi="Times New Roman" w:cs="Times New Roman"/>
          <w:bCs/>
          <w:color w:val="000000"/>
          <w:sz w:val="26"/>
          <w:szCs w:val="26"/>
        </w:rPr>
        <w:t xml:space="preserve">социально-психологическом </w:t>
      </w:r>
      <w:r>
        <w:rPr>
          <w:rFonts w:ascii="Times New Roman" w:eastAsia="Times New Roman" w:hAnsi="Times New Roman" w:cs="Times New Roman"/>
          <w:color w:val="000000"/>
          <w:sz w:val="26"/>
          <w:szCs w:val="26"/>
        </w:rPr>
        <w:t xml:space="preserve">сопровождении инновационных процессов в образовательной организации, затрагивающих </w:t>
      </w:r>
      <w:r>
        <w:rPr>
          <w:rFonts w:ascii="Times New Roman" w:eastAsia="Times New Roman" w:hAnsi="Times New Roman" w:cs="Times New Roman"/>
          <w:bCs/>
          <w:color w:val="000000"/>
          <w:sz w:val="26"/>
          <w:szCs w:val="26"/>
        </w:rPr>
        <w:t xml:space="preserve">психологические характеристики </w:t>
      </w:r>
      <w:r>
        <w:rPr>
          <w:rFonts w:ascii="Times New Roman" w:eastAsia="Times New Roman" w:hAnsi="Times New Roman" w:cs="Times New Roman"/>
          <w:color w:val="000000"/>
          <w:sz w:val="26"/>
          <w:szCs w:val="26"/>
        </w:rPr>
        <w:t>образовательной среды и психологическую безопасность субъектов образовательного процесса.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Посредниками в разрешении конфликтных ситуаций (медиаторами) в образовательных организациях Калужской области выступают уполномоченные по правам участников образовательного процесса и специалисты служб сопровождения: школьные психологи, социальные педагоги, педагогические работники, </w:t>
      </w:r>
      <w:r>
        <w:rPr>
          <w:rFonts w:ascii="Times New Roman" w:eastAsia="Times New Roman" w:hAnsi="Times New Roman" w:cs="Times New Roman"/>
          <w:bCs/>
          <w:color w:val="000000"/>
          <w:sz w:val="26"/>
          <w:szCs w:val="26"/>
        </w:rPr>
        <w:t xml:space="preserve">ответственные </w:t>
      </w:r>
      <w:r>
        <w:rPr>
          <w:rFonts w:ascii="Times New Roman" w:eastAsia="Times New Roman" w:hAnsi="Times New Roman" w:cs="Times New Roman"/>
          <w:color w:val="000000"/>
          <w:sz w:val="26"/>
          <w:szCs w:val="26"/>
        </w:rPr>
        <w:t>за психологическое обеспечение образовательного процесса.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2018 году для специалистов служб психолого-педагогического </w:t>
      </w:r>
      <w:r>
        <w:rPr>
          <w:rFonts w:ascii="Times New Roman" w:eastAsia="Times New Roman" w:hAnsi="Times New Roman" w:cs="Times New Roman"/>
          <w:bCs/>
          <w:color w:val="000000"/>
          <w:sz w:val="26"/>
          <w:szCs w:val="26"/>
        </w:rPr>
        <w:t xml:space="preserve">сопровождения </w:t>
      </w:r>
      <w:r>
        <w:rPr>
          <w:rFonts w:ascii="Times New Roman" w:eastAsia="Times New Roman" w:hAnsi="Times New Roman" w:cs="Times New Roman"/>
          <w:color w:val="000000"/>
          <w:sz w:val="26"/>
          <w:szCs w:val="26"/>
        </w:rPr>
        <w:t xml:space="preserve">Калужским государственным институтом развития </w:t>
      </w:r>
      <w:r>
        <w:rPr>
          <w:rFonts w:ascii="Times New Roman" w:eastAsia="Times New Roman" w:hAnsi="Times New Roman" w:cs="Times New Roman"/>
          <w:bCs/>
          <w:color w:val="000000"/>
          <w:sz w:val="26"/>
          <w:szCs w:val="26"/>
        </w:rPr>
        <w:t xml:space="preserve">образования </w:t>
      </w:r>
      <w:r>
        <w:rPr>
          <w:rFonts w:ascii="Times New Roman" w:eastAsia="Times New Roman" w:hAnsi="Times New Roman" w:cs="Times New Roman"/>
          <w:color w:val="000000"/>
          <w:sz w:val="26"/>
          <w:szCs w:val="26"/>
        </w:rPr>
        <w:t xml:space="preserve">разработана программа дополнительного </w:t>
      </w:r>
      <w:r>
        <w:rPr>
          <w:rFonts w:ascii="Times New Roman" w:eastAsia="Times New Roman" w:hAnsi="Times New Roman" w:cs="Times New Roman"/>
          <w:bCs/>
          <w:color w:val="000000"/>
          <w:sz w:val="26"/>
          <w:szCs w:val="26"/>
        </w:rPr>
        <w:t xml:space="preserve">профессионального </w:t>
      </w:r>
      <w:r>
        <w:rPr>
          <w:rFonts w:ascii="Times New Roman" w:eastAsia="Times New Roman" w:hAnsi="Times New Roman" w:cs="Times New Roman"/>
          <w:color w:val="000000"/>
          <w:sz w:val="26"/>
          <w:szCs w:val="26"/>
        </w:rPr>
        <w:t xml:space="preserve">образования «Урегулирование конфликтов в образовании. Школьная служба медиации». </w:t>
      </w:r>
      <w:r>
        <w:rPr>
          <w:rFonts w:ascii="Times New Roman" w:eastAsia="Times New Roman" w:hAnsi="Times New Roman" w:cs="Times New Roman"/>
          <w:bCs/>
          <w:color w:val="000000"/>
          <w:sz w:val="26"/>
          <w:szCs w:val="26"/>
        </w:rPr>
        <w:t xml:space="preserve">Калужским </w:t>
      </w:r>
      <w:r>
        <w:rPr>
          <w:rFonts w:ascii="Times New Roman" w:eastAsia="Times New Roman" w:hAnsi="Times New Roman" w:cs="Times New Roman"/>
          <w:color w:val="000000"/>
          <w:sz w:val="26"/>
          <w:szCs w:val="26"/>
        </w:rPr>
        <w:t xml:space="preserve">государственным университетом им. К.Э. Циолковского разработана программа повышения квалификации «Медиация как способ разрешения конфликтов» для руководящих и </w:t>
      </w:r>
      <w:r>
        <w:rPr>
          <w:rFonts w:ascii="Times New Roman" w:eastAsia="Times New Roman" w:hAnsi="Times New Roman" w:cs="Times New Roman"/>
          <w:bCs/>
          <w:color w:val="000000"/>
          <w:sz w:val="26"/>
          <w:szCs w:val="26"/>
        </w:rPr>
        <w:t xml:space="preserve">педагогических </w:t>
      </w:r>
      <w:r>
        <w:rPr>
          <w:rFonts w:ascii="Times New Roman" w:eastAsia="Times New Roman" w:hAnsi="Times New Roman" w:cs="Times New Roman"/>
          <w:color w:val="000000"/>
          <w:sz w:val="26"/>
          <w:szCs w:val="26"/>
        </w:rPr>
        <w:t>работников».</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Проблеме </w:t>
      </w:r>
      <w:r>
        <w:rPr>
          <w:rFonts w:ascii="Times New Roman" w:eastAsia="Times New Roman" w:hAnsi="Times New Roman" w:cs="Times New Roman"/>
          <w:bCs/>
          <w:color w:val="000000"/>
          <w:sz w:val="26"/>
          <w:szCs w:val="26"/>
        </w:rPr>
        <w:t xml:space="preserve">сохранения и устранения </w:t>
      </w:r>
      <w:r>
        <w:rPr>
          <w:rFonts w:ascii="Times New Roman" w:eastAsia="Times New Roman" w:hAnsi="Times New Roman" w:cs="Times New Roman"/>
          <w:color w:val="000000"/>
          <w:sz w:val="26"/>
          <w:szCs w:val="26"/>
        </w:rPr>
        <w:t xml:space="preserve">дефицита психолого-педагогических кадров в системе образования Калужской области уделяется особое внимание. В 2018 году министерством образования и науки Калужской области проведено пять зональных совещаний, на которых рассмотрены вопросы, касающиеся специфики психолого-педагогического сопровождения субъектов образовательного процесса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современных условиях, целей </w:t>
      </w:r>
      <w:r>
        <w:rPr>
          <w:rFonts w:ascii="Times New Roman" w:eastAsia="Times New Roman" w:hAnsi="Times New Roman" w:cs="Times New Roman"/>
          <w:bCs/>
          <w:color w:val="000000"/>
          <w:sz w:val="26"/>
          <w:szCs w:val="26"/>
        </w:rPr>
        <w:t xml:space="preserve">и </w:t>
      </w:r>
      <w:r>
        <w:rPr>
          <w:rFonts w:ascii="Times New Roman" w:eastAsia="Times New Roman" w:hAnsi="Times New Roman" w:cs="Times New Roman"/>
          <w:color w:val="000000"/>
          <w:sz w:val="26"/>
          <w:szCs w:val="26"/>
        </w:rPr>
        <w:t xml:space="preserve">задач психологической службы, </w:t>
      </w:r>
      <w:r>
        <w:rPr>
          <w:rFonts w:ascii="Times New Roman" w:eastAsia="Times New Roman" w:hAnsi="Times New Roman" w:cs="Times New Roman"/>
          <w:bCs/>
          <w:color w:val="000000"/>
          <w:sz w:val="26"/>
          <w:szCs w:val="26"/>
        </w:rPr>
        <w:t xml:space="preserve">направлений </w:t>
      </w:r>
      <w:r>
        <w:rPr>
          <w:rFonts w:ascii="Times New Roman" w:eastAsia="Times New Roman" w:hAnsi="Times New Roman" w:cs="Times New Roman"/>
          <w:color w:val="000000"/>
          <w:sz w:val="26"/>
          <w:szCs w:val="26"/>
        </w:rPr>
        <w:t>и видов деятельности педагога-психолога.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целях </w:t>
      </w:r>
      <w:r>
        <w:rPr>
          <w:rFonts w:ascii="Times New Roman" w:eastAsia="Times New Roman" w:hAnsi="Times New Roman" w:cs="Times New Roman"/>
          <w:bCs/>
          <w:color w:val="000000"/>
          <w:sz w:val="26"/>
          <w:szCs w:val="26"/>
        </w:rPr>
        <w:t xml:space="preserve">повышения </w:t>
      </w:r>
      <w:r>
        <w:rPr>
          <w:rFonts w:ascii="Times New Roman" w:eastAsia="Times New Roman" w:hAnsi="Times New Roman" w:cs="Times New Roman"/>
          <w:color w:val="000000"/>
          <w:sz w:val="26"/>
          <w:szCs w:val="26"/>
        </w:rPr>
        <w:t xml:space="preserve">качества </w:t>
      </w:r>
      <w:r>
        <w:rPr>
          <w:rFonts w:ascii="Times New Roman" w:eastAsia="Times New Roman" w:hAnsi="Times New Roman" w:cs="Times New Roman"/>
          <w:bCs/>
          <w:color w:val="000000"/>
          <w:sz w:val="26"/>
          <w:szCs w:val="26"/>
        </w:rPr>
        <w:t xml:space="preserve">психологического </w:t>
      </w:r>
      <w:r>
        <w:rPr>
          <w:rFonts w:ascii="Times New Roman" w:eastAsia="Times New Roman" w:hAnsi="Times New Roman" w:cs="Times New Roman"/>
          <w:color w:val="000000"/>
          <w:sz w:val="26"/>
          <w:szCs w:val="26"/>
        </w:rPr>
        <w:t xml:space="preserve">сопровождения </w:t>
      </w:r>
      <w:r>
        <w:rPr>
          <w:rFonts w:ascii="Times New Roman" w:eastAsia="Times New Roman" w:hAnsi="Times New Roman" w:cs="Times New Roman"/>
          <w:bCs/>
          <w:color w:val="000000"/>
          <w:sz w:val="26"/>
          <w:szCs w:val="26"/>
        </w:rPr>
        <w:t xml:space="preserve">процессов </w:t>
      </w:r>
      <w:r>
        <w:rPr>
          <w:rFonts w:ascii="Times New Roman" w:eastAsia="Times New Roman" w:hAnsi="Times New Roman" w:cs="Times New Roman"/>
          <w:color w:val="000000"/>
          <w:sz w:val="26"/>
          <w:szCs w:val="26"/>
        </w:rPr>
        <w:t xml:space="preserve">обучения и </w:t>
      </w:r>
      <w:r>
        <w:rPr>
          <w:rFonts w:ascii="Times New Roman" w:eastAsia="Times New Roman" w:hAnsi="Times New Roman" w:cs="Times New Roman"/>
          <w:bCs/>
          <w:color w:val="000000"/>
          <w:sz w:val="26"/>
          <w:szCs w:val="26"/>
        </w:rPr>
        <w:t xml:space="preserve">воспитания </w:t>
      </w:r>
      <w:r>
        <w:rPr>
          <w:rFonts w:ascii="Times New Roman" w:eastAsia="Times New Roman" w:hAnsi="Times New Roman" w:cs="Times New Roman"/>
          <w:color w:val="000000"/>
          <w:sz w:val="26"/>
          <w:szCs w:val="26"/>
        </w:rPr>
        <w:t xml:space="preserve">в образовательных организациях с 2018/19 учебного года руководителям образовательных организаций рекомендовано предусмотреть в штатных расписаниях общеобразовательных организаций должность педагога-психолога </w:t>
      </w:r>
      <w:r>
        <w:rPr>
          <w:rFonts w:ascii="Times New Roman" w:eastAsia="Times New Roman" w:hAnsi="Times New Roman" w:cs="Times New Roman"/>
          <w:bCs/>
          <w:color w:val="000000"/>
          <w:sz w:val="26"/>
          <w:szCs w:val="26"/>
        </w:rPr>
        <w:t xml:space="preserve">из </w:t>
      </w:r>
      <w:r>
        <w:rPr>
          <w:rFonts w:ascii="Times New Roman" w:eastAsia="Times New Roman" w:hAnsi="Times New Roman" w:cs="Times New Roman"/>
          <w:color w:val="000000"/>
          <w:sz w:val="26"/>
          <w:szCs w:val="26"/>
        </w:rPr>
        <w:t xml:space="preserve">расчета: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школах с числом обучающихся до 200 человек - не менее одной штатной единицы, в школах с числом обучающихся более 200 человек - не менее одного педагога-психолога на каждую ступень обучения.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Проведенный в конце 2018 года мониторинг кадрового обеспечения </w:t>
      </w:r>
      <w:r>
        <w:rPr>
          <w:rFonts w:ascii="Times New Roman" w:eastAsia="Times New Roman" w:hAnsi="Times New Roman" w:cs="Times New Roman"/>
          <w:bCs/>
          <w:color w:val="000000"/>
          <w:sz w:val="26"/>
          <w:szCs w:val="26"/>
        </w:rPr>
        <w:t xml:space="preserve">психологической </w:t>
      </w:r>
      <w:r>
        <w:rPr>
          <w:rFonts w:ascii="Times New Roman" w:eastAsia="Times New Roman" w:hAnsi="Times New Roman" w:cs="Times New Roman"/>
          <w:color w:val="000000"/>
          <w:sz w:val="26"/>
          <w:szCs w:val="26"/>
        </w:rPr>
        <w:t xml:space="preserve">службы системы образования </w:t>
      </w:r>
      <w:r>
        <w:rPr>
          <w:rFonts w:ascii="Times New Roman" w:eastAsia="Times New Roman" w:hAnsi="Times New Roman" w:cs="Times New Roman"/>
          <w:bCs/>
          <w:color w:val="000000"/>
          <w:sz w:val="26"/>
          <w:szCs w:val="26"/>
        </w:rPr>
        <w:t xml:space="preserve">свидетельствует </w:t>
      </w:r>
      <w:r>
        <w:rPr>
          <w:rFonts w:ascii="Times New Roman" w:eastAsia="Times New Roman" w:hAnsi="Times New Roman" w:cs="Times New Roman"/>
          <w:color w:val="000000"/>
          <w:sz w:val="26"/>
          <w:szCs w:val="26"/>
        </w:rPr>
        <w:t xml:space="preserve">о положительной динамике в преодолении кадрового дефицита. В ряде образовательных организаций области введена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штатное расписание должность педагога-психолога. В </w:t>
      </w:r>
      <w:r>
        <w:rPr>
          <w:rFonts w:ascii="Times New Roman" w:eastAsia="Times New Roman" w:hAnsi="Times New Roman" w:cs="Times New Roman"/>
          <w:bCs/>
          <w:color w:val="000000"/>
          <w:sz w:val="26"/>
          <w:szCs w:val="26"/>
        </w:rPr>
        <w:t xml:space="preserve">некоторых </w:t>
      </w:r>
      <w:r>
        <w:rPr>
          <w:rFonts w:ascii="Times New Roman" w:eastAsia="Times New Roman" w:hAnsi="Times New Roman" w:cs="Times New Roman"/>
          <w:color w:val="000000"/>
          <w:sz w:val="26"/>
          <w:szCs w:val="26"/>
        </w:rPr>
        <w:t xml:space="preserve">образовательных организациях </w:t>
      </w:r>
      <w:r>
        <w:rPr>
          <w:rFonts w:ascii="Times New Roman" w:eastAsia="Times New Roman" w:hAnsi="Times New Roman" w:cs="Times New Roman"/>
          <w:bCs/>
          <w:color w:val="000000"/>
          <w:sz w:val="26"/>
          <w:szCs w:val="26"/>
        </w:rPr>
        <w:t xml:space="preserve">с </w:t>
      </w:r>
      <w:r>
        <w:rPr>
          <w:rFonts w:ascii="Times New Roman" w:eastAsia="Times New Roman" w:hAnsi="Times New Roman" w:cs="Times New Roman"/>
          <w:color w:val="000000"/>
          <w:sz w:val="26"/>
          <w:szCs w:val="26"/>
        </w:rPr>
        <w:t>численностью обучающихся, превышающей 500 человек, созданы психологические службы, в состав которых вошли два и более педагога-психолога.</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ежегодного мониторинга </w:t>
      </w:r>
      <w:r>
        <w:rPr>
          <w:rFonts w:ascii="Times New Roman" w:eastAsia="Times New Roman" w:hAnsi="Times New Roman" w:cs="Times New Roman"/>
          <w:bCs/>
          <w:color w:val="000000"/>
          <w:sz w:val="26"/>
          <w:szCs w:val="26"/>
        </w:rPr>
        <w:t xml:space="preserve">на </w:t>
      </w:r>
      <w:r>
        <w:rPr>
          <w:rFonts w:ascii="Times New Roman" w:eastAsia="Times New Roman" w:hAnsi="Times New Roman" w:cs="Times New Roman"/>
          <w:color w:val="000000"/>
          <w:sz w:val="26"/>
          <w:szCs w:val="26"/>
        </w:rPr>
        <w:t xml:space="preserve">1 января 2019 г. </w:t>
      </w:r>
      <w:r>
        <w:rPr>
          <w:rFonts w:ascii="Times New Roman" w:eastAsia="Times New Roman" w:hAnsi="Times New Roman" w:cs="Times New Roman"/>
          <w:bCs/>
          <w:color w:val="000000"/>
          <w:sz w:val="26"/>
          <w:szCs w:val="26"/>
        </w:rPr>
        <w:t xml:space="preserve">общее </w:t>
      </w:r>
      <w:r>
        <w:rPr>
          <w:rFonts w:ascii="Times New Roman" w:eastAsia="Times New Roman" w:hAnsi="Times New Roman" w:cs="Times New Roman"/>
          <w:color w:val="000000"/>
          <w:sz w:val="26"/>
          <w:szCs w:val="26"/>
        </w:rPr>
        <w:t xml:space="preserve">количество </w:t>
      </w:r>
      <w:r>
        <w:rPr>
          <w:rFonts w:ascii="Times New Roman" w:eastAsia="Times New Roman" w:hAnsi="Times New Roman" w:cs="Times New Roman"/>
          <w:bCs/>
          <w:color w:val="000000"/>
          <w:sz w:val="26"/>
          <w:szCs w:val="26"/>
        </w:rPr>
        <w:t xml:space="preserve">педагогов-психологов </w:t>
      </w:r>
      <w:r>
        <w:rPr>
          <w:rFonts w:ascii="Times New Roman" w:eastAsia="Times New Roman" w:hAnsi="Times New Roman" w:cs="Times New Roman"/>
          <w:color w:val="000000"/>
          <w:sz w:val="26"/>
          <w:szCs w:val="26"/>
        </w:rPr>
        <w:t xml:space="preserve">в образовательных организациях </w:t>
      </w:r>
      <w:r>
        <w:rPr>
          <w:rFonts w:ascii="Times New Roman" w:eastAsia="Times New Roman" w:hAnsi="Times New Roman" w:cs="Times New Roman"/>
          <w:bCs/>
          <w:color w:val="000000"/>
          <w:sz w:val="26"/>
          <w:szCs w:val="26"/>
        </w:rPr>
        <w:t xml:space="preserve">Калужской </w:t>
      </w:r>
      <w:r>
        <w:rPr>
          <w:rFonts w:ascii="Times New Roman" w:eastAsia="Times New Roman" w:hAnsi="Times New Roman" w:cs="Times New Roman"/>
          <w:color w:val="000000"/>
          <w:sz w:val="26"/>
          <w:szCs w:val="26"/>
        </w:rPr>
        <w:t>области составляет 395, из них:</w:t>
      </w:r>
    </w:p>
    <w:p>
      <w:pPr>
        <w:numPr>
          <w:ilvl w:val="0"/>
          <w:numId w:val="3"/>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дошкольных образовательных организациях - 104 педагога-психолога;</w:t>
      </w:r>
    </w:p>
    <w:p>
      <w:pPr>
        <w:numPr>
          <w:ilvl w:val="0"/>
          <w:numId w:val="3"/>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общеобразовательных организациях - 230 педагогов-психологов;</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в государственных профессиональных образовательных организациях - 11 педагогов-психологов;</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в других организациях (в организациях дополнительного образования, </w:t>
      </w:r>
      <w:r>
        <w:rPr>
          <w:rFonts w:ascii="Times New Roman" w:eastAsia="Times New Roman" w:hAnsi="Times New Roman" w:cs="Times New Roman"/>
          <w:bCs/>
          <w:color w:val="000000"/>
          <w:sz w:val="26"/>
          <w:szCs w:val="26"/>
        </w:rPr>
        <w:t xml:space="preserve">центрах </w:t>
      </w:r>
      <w:r>
        <w:rPr>
          <w:rFonts w:ascii="Times New Roman" w:eastAsia="Times New Roman" w:hAnsi="Times New Roman" w:cs="Times New Roman"/>
          <w:color w:val="000000"/>
          <w:sz w:val="26"/>
          <w:szCs w:val="26"/>
        </w:rPr>
        <w:t>психологической, медицинской и социальной помощи)-52 педагога-психолога.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Штатная численность педагогов-психологов образовательных организаций Калужской области составляет 276 человек, при этом совместителями являются 119 педагогов-психологов </w:t>
      </w:r>
      <w:r>
        <w:rPr>
          <w:rFonts w:ascii="Times New Roman" w:eastAsia="Times New Roman" w:hAnsi="Times New Roman" w:cs="Times New Roman"/>
          <w:bCs/>
          <w:color w:val="000000"/>
          <w:sz w:val="26"/>
          <w:szCs w:val="26"/>
        </w:rPr>
        <w:t xml:space="preserve">(внутреннее </w:t>
      </w:r>
      <w:r>
        <w:rPr>
          <w:rFonts w:ascii="Times New Roman" w:eastAsia="Times New Roman" w:hAnsi="Times New Roman" w:cs="Times New Roman"/>
          <w:color w:val="000000"/>
          <w:sz w:val="26"/>
          <w:szCs w:val="26"/>
        </w:rPr>
        <w:t>совмещение - 97 педагогов-психологов, внешнее совмещение - 22 педагога-психолога).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По сравнению с результатами мониторинга 2017 года общее </w:t>
      </w:r>
      <w:r>
        <w:rPr>
          <w:rFonts w:ascii="Times New Roman" w:eastAsia="Times New Roman" w:hAnsi="Times New Roman" w:cs="Times New Roman"/>
          <w:bCs/>
          <w:color w:val="000000"/>
          <w:sz w:val="26"/>
          <w:szCs w:val="26"/>
        </w:rPr>
        <w:t xml:space="preserve">количество </w:t>
      </w:r>
      <w:r>
        <w:rPr>
          <w:rFonts w:ascii="Times New Roman" w:eastAsia="Times New Roman" w:hAnsi="Times New Roman" w:cs="Times New Roman"/>
          <w:color w:val="000000"/>
          <w:sz w:val="26"/>
          <w:szCs w:val="26"/>
        </w:rPr>
        <w:t xml:space="preserve">педагогов-психологов в образовательных организациях Калужской области увеличилось на </w:t>
      </w:r>
      <w:r>
        <w:rPr>
          <w:rFonts w:ascii="Times New Roman" w:eastAsia="Times New Roman" w:hAnsi="Times New Roman" w:cs="Times New Roman"/>
          <w:bCs/>
          <w:color w:val="000000"/>
          <w:sz w:val="26"/>
          <w:szCs w:val="26"/>
        </w:rPr>
        <w:t xml:space="preserve">100 </w:t>
      </w:r>
      <w:r>
        <w:rPr>
          <w:rFonts w:ascii="Times New Roman" w:eastAsia="Times New Roman" w:hAnsi="Times New Roman" w:cs="Times New Roman"/>
          <w:color w:val="000000"/>
          <w:sz w:val="26"/>
          <w:szCs w:val="26"/>
        </w:rPr>
        <w:t>человек (34 %).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Укомплектованность штатными кадрами общеобразовательных организаций составляет 53 %, </w:t>
      </w:r>
      <w:r>
        <w:rPr>
          <w:rFonts w:ascii="Times New Roman" w:eastAsia="Times New Roman" w:hAnsi="Times New Roman" w:cs="Times New Roman"/>
          <w:bCs/>
          <w:color w:val="000000"/>
          <w:sz w:val="26"/>
          <w:szCs w:val="26"/>
        </w:rPr>
        <w:t xml:space="preserve">профессиональных </w:t>
      </w:r>
      <w:r>
        <w:rPr>
          <w:rFonts w:ascii="Times New Roman" w:eastAsia="Times New Roman" w:hAnsi="Times New Roman" w:cs="Times New Roman"/>
          <w:color w:val="000000"/>
          <w:sz w:val="26"/>
          <w:szCs w:val="26"/>
        </w:rPr>
        <w:t>образовательных организаций 47,4 %.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С целью решения проблемы дефицита психолого-педагогических кадров Калужским государственным институтом развития образования организовано обучение по программе переподготовки в </w:t>
      </w:r>
      <w:r>
        <w:rPr>
          <w:rFonts w:ascii="Times New Roman" w:eastAsia="Times New Roman" w:hAnsi="Times New Roman" w:cs="Times New Roman"/>
          <w:bCs/>
          <w:color w:val="000000"/>
          <w:sz w:val="26"/>
          <w:szCs w:val="26"/>
        </w:rPr>
        <w:t xml:space="preserve">объеме </w:t>
      </w:r>
      <w:r>
        <w:rPr>
          <w:rFonts w:ascii="Times New Roman" w:eastAsia="Times New Roman" w:hAnsi="Times New Roman" w:cs="Times New Roman"/>
          <w:color w:val="000000"/>
          <w:sz w:val="26"/>
          <w:szCs w:val="26"/>
        </w:rPr>
        <w:t xml:space="preserve">350 часов для 50 педагогических работников, которые в образовательных организациях являются </w:t>
      </w:r>
      <w:r>
        <w:rPr>
          <w:rFonts w:ascii="Times New Roman" w:eastAsia="Times New Roman" w:hAnsi="Times New Roman" w:cs="Times New Roman"/>
          <w:bCs/>
          <w:color w:val="000000"/>
          <w:sz w:val="26"/>
          <w:szCs w:val="26"/>
        </w:rPr>
        <w:t xml:space="preserve">специалистами, </w:t>
      </w:r>
      <w:r>
        <w:rPr>
          <w:rFonts w:ascii="Times New Roman" w:eastAsia="Times New Roman" w:hAnsi="Times New Roman" w:cs="Times New Roman"/>
          <w:color w:val="000000"/>
          <w:sz w:val="26"/>
          <w:szCs w:val="26"/>
        </w:rPr>
        <w:t xml:space="preserve">ответственными за </w:t>
      </w:r>
      <w:r>
        <w:rPr>
          <w:rFonts w:ascii="Times New Roman" w:eastAsia="Times New Roman" w:hAnsi="Times New Roman" w:cs="Times New Roman"/>
          <w:bCs/>
          <w:color w:val="000000"/>
          <w:sz w:val="26"/>
          <w:szCs w:val="26"/>
        </w:rPr>
        <w:t>психолого-</w:t>
      </w:r>
      <w:r>
        <w:rPr>
          <w:rFonts w:ascii="Times New Roman" w:eastAsia="Times New Roman" w:hAnsi="Times New Roman" w:cs="Times New Roman"/>
          <w:color w:val="000000"/>
          <w:sz w:val="26"/>
          <w:szCs w:val="26"/>
        </w:rPr>
        <w:t>педагогическое сопровождение образовательного процесса.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ab/>
        <w:t xml:space="preserve">Показатели </w:t>
      </w:r>
      <w:r>
        <w:rPr>
          <w:rFonts w:ascii="Times New Roman" w:eastAsia="Times New Roman" w:hAnsi="Times New Roman" w:cs="Times New Roman"/>
          <w:color w:val="000000"/>
          <w:sz w:val="26"/>
          <w:szCs w:val="26"/>
        </w:rPr>
        <w:t>эффективности и результативности деятельности психолого-медико-педагогического сопровождения: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увеличение количества обучающихся, охваченных системой </w:t>
      </w:r>
      <w:r>
        <w:rPr>
          <w:rFonts w:ascii="Times New Roman" w:eastAsia="Times New Roman" w:hAnsi="Times New Roman" w:cs="Times New Roman"/>
          <w:bCs/>
          <w:color w:val="000000"/>
          <w:sz w:val="26"/>
          <w:szCs w:val="26"/>
        </w:rPr>
        <w:t>психолого-медико-п</w:t>
      </w:r>
      <w:r>
        <w:rPr>
          <w:rFonts w:ascii="Times New Roman" w:eastAsia="Times New Roman" w:hAnsi="Times New Roman" w:cs="Times New Roman"/>
          <w:color w:val="000000"/>
          <w:sz w:val="26"/>
          <w:szCs w:val="26"/>
        </w:rPr>
        <w:t xml:space="preserve">едагогического сопровождения, направленной на раннее </w:t>
      </w:r>
      <w:r>
        <w:rPr>
          <w:rFonts w:ascii="Times New Roman" w:eastAsia="Times New Roman" w:hAnsi="Times New Roman" w:cs="Times New Roman"/>
          <w:bCs/>
          <w:color w:val="000000"/>
          <w:sz w:val="26"/>
          <w:szCs w:val="26"/>
        </w:rPr>
        <w:t xml:space="preserve">выявление </w:t>
      </w:r>
      <w:r>
        <w:rPr>
          <w:rFonts w:ascii="Times New Roman" w:eastAsia="Times New Roman" w:hAnsi="Times New Roman" w:cs="Times New Roman"/>
          <w:color w:val="000000"/>
          <w:sz w:val="26"/>
          <w:szCs w:val="26"/>
        </w:rPr>
        <w:t xml:space="preserve">нарушений в </w:t>
      </w:r>
      <w:r>
        <w:rPr>
          <w:rFonts w:ascii="Times New Roman" w:eastAsia="Times New Roman" w:hAnsi="Times New Roman" w:cs="Times New Roman"/>
          <w:bCs/>
          <w:color w:val="000000"/>
          <w:sz w:val="26"/>
          <w:szCs w:val="26"/>
        </w:rPr>
        <w:t xml:space="preserve">развитии </w:t>
      </w:r>
      <w:r>
        <w:rPr>
          <w:rFonts w:ascii="Times New Roman" w:eastAsia="Times New Roman" w:hAnsi="Times New Roman" w:cs="Times New Roman"/>
          <w:color w:val="000000"/>
          <w:sz w:val="26"/>
          <w:szCs w:val="26"/>
        </w:rPr>
        <w:t>(2016 год – 3 897 чел., 2017 год – 3 798 чел., 2018 год – 3 990 чел.);</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увеличение охвата обучающихся, нуждающихся в оказании </w:t>
      </w:r>
      <w:r>
        <w:rPr>
          <w:rFonts w:ascii="Times New Roman" w:eastAsia="Times New Roman" w:hAnsi="Times New Roman" w:cs="Times New Roman"/>
          <w:bCs/>
          <w:color w:val="000000"/>
          <w:sz w:val="26"/>
          <w:szCs w:val="26"/>
        </w:rPr>
        <w:t>психолого-</w:t>
      </w:r>
      <w:r>
        <w:rPr>
          <w:rFonts w:ascii="Times New Roman" w:eastAsia="Times New Roman" w:hAnsi="Times New Roman" w:cs="Times New Roman"/>
          <w:color w:val="000000"/>
          <w:sz w:val="26"/>
          <w:szCs w:val="26"/>
        </w:rPr>
        <w:t>педагогической помощи (2016 год – 6 543 чел., 2017 год - 7 052 чел.; 2018 год - 7 336 чел.);</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повышение уровня психолого-педагогической компетентности участников образовательного процесса (2017 год – 3 548 чел., 2018 год – 3 975 чел.).</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Анализ обращений к Уполномоченному, связанных с данной тематикой, свидетельствует о наличии оснований предполагать, что конфликты возникают и своевременно не разрешаются в учреждениях, где работа психолога или психологических служб номинальная. При участии Уполномоченного по работе с данными обращениями и привлечения к участию в работе специалистов психологических служб сторонних организаций, конфликтные ситуации удается разрешить. Во многих случаях со стороны преподавательского состава отмечается нежелание разрешения конфликта, игнорирование рекомендаций психологов.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При обращении гражданки, мамы ученика начальных классов, в связи с затянувшимся конфликтом с учителем и наличием со слов обратившейся предвзятости со стороны учителя по отношению к ребенку, выяснялось, нежелание разрешать конфликтную ситуацию родителем, с желанием привлечь к ответственности и назначения наказания. Конфликт удалось разрешить лишь сменой формы обучения ребенку.</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Региональная система дополнительного образования включает 123 организации различной ведомственной принадлежности:</w:t>
      </w:r>
    </w:p>
    <w:p>
      <w:pPr>
        <w:spacing w:after="0" w:line="360" w:lineRule="auto"/>
        <w:ind w:left="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- 35 центров дополнительного образования и домов детского творчества;</w:t>
      </w:r>
    </w:p>
    <w:p>
      <w:pPr>
        <w:spacing w:after="0" w:line="360" w:lineRule="auto"/>
        <w:ind w:left="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- 1 загородный детский оздоровительно-образовательный центр;</w:t>
      </w:r>
    </w:p>
    <w:p>
      <w:pPr>
        <w:spacing w:after="0" w:line="360" w:lineRule="auto"/>
        <w:ind w:left="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- 34 детско-юношеские спортивные школы;</w:t>
      </w:r>
    </w:p>
    <w:p>
      <w:pPr>
        <w:spacing w:after="0" w:line="360" w:lineRule="auto"/>
        <w:ind w:left="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- 53 школы </w:t>
      </w:r>
      <w:r>
        <w:rPr>
          <w:rFonts w:ascii="Times New Roman" w:eastAsia="Times New Roman" w:hAnsi="Times New Roman" w:cs="Times New Roman"/>
          <w:bCs/>
          <w:color w:val="000000"/>
          <w:sz w:val="26"/>
          <w:szCs w:val="26"/>
        </w:rPr>
        <w:t xml:space="preserve">искусств </w:t>
      </w:r>
      <w:r>
        <w:rPr>
          <w:rFonts w:ascii="Times New Roman" w:eastAsia="Times New Roman" w:hAnsi="Times New Roman" w:cs="Times New Roman"/>
          <w:color w:val="000000"/>
          <w:sz w:val="26"/>
          <w:szCs w:val="26"/>
        </w:rPr>
        <w:t>и музыкальные школы.</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разные формы дополнительного образования </w:t>
      </w:r>
      <w:r>
        <w:rPr>
          <w:rFonts w:ascii="Times New Roman" w:eastAsia="Times New Roman" w:hAnsi="Times New Roman" w:cs="Times New Roman"/>
          <w:bCs/>
          <w:color w:val="000000"/>
          <w:sz w:val="26"/>
          <w:szCs w:val="26"/>
        </w:rPr>
        <w:t xml:space="preserve">вовлечено </w:t>
      </w:r>
      <w:r>
        <w:rPr>
          <w:rFonts w:ascii="Times New Roman" w:eastAsia="Times New Roman" w:hAnsi="Times New Roman" w:cs="Times New Roman"/>
          <w:color w:val="000000"/>
          <w:sz w:val="26"/>
          <w:szCs w:val="26"/>
        </w:rPr>
        <w:t>более 76 % обучающихся от общего количества детей в возрасте от 5 до 18 лет, количество детей, охваченных услугами дополнительного образования детей составляет 87 775 человек.</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регионе досрочно обеспечена </w:t>
      </w:r>
      <w:r>
        <w:rPr>
          <w:rFonts w:ascii="Times New Roman" w:eastAsia="Times New Roman" w:hAnsi="Times New Roman" w:cs="Times New Roman"/>
          <w:bCs/>
          <w:color w:val="000000"/>
          <w:sz w:val="26"/>
          <w:szCs w:val="26"/>
        </w:rPr>
        <w:t xml:space="preserve">реализация </w:t>
      </w:r>
      <w:r>
        <w:rPr>
          <w:rFonts w:ascii="Times New Roman" w:eastAsia="Times New Roman" w:hAnsi="Times New Roman" w:cs="Times New Roman"/>
          <w:color w:val="000000"/>
          <w:sz w:val="26"/>
          <w:szCs w:val="26"/>
        </w:rPr>
        <w:t xml:space="preserve">Указа Президента </w:t>
      </w:r>
      <w:r>
        <w:rPr>
          <w:rFonts w:ascii="Times New Roman" w:eastAsia="Times New Roman" w:hAnsi="Times New Roman" w:cs="Times New Roman"/>
          <w:bCs/>
          <w:color w:val="000000"/>
          <w:sz w:val="26"/>
          <w:szCs w:val="26"/>
        </w:rPr>
        <w:t xml:space="preserve">Российской </w:t>
      </w:r>
      <w:r>
        <w:rPr>
          <w:rFonts w:ascii="Times New Roman" w:eastAsia="Times New Roman" w:hAnsi="Times New Roman" w:cs="Times New Roman"/>
          <w:color w:val="000000"/>
          <w:sz w:val="26"/>
          <w:szCs w:val="26"/>
        </w:rPr>
        <w:t xml:space="preserve">Федерации в части охвата детей в возрасте </w:t>
      </w:r>
      <w:r>
        <w:rPr>
          <w:rFonts w:ascii="Times New Roman" w:eastAsia="Times New Roman" w:hAnsi="Times New Roman" w:cs="Times New Roman"/>
          <w:bCs/>
          <w:color w:val="000000"/>
          <w:sz w:val="26"/>
          <w:szCs w:val="26"/>
        </w:rPr>
        <w:t xml:space="preserve">от </w:t>
      </w:r>
      <w:r>
        <w:rPr>
          <w:rFonts w:ascii="Times New Roman" w:eastAsia="Times New Roman" w:hAnsi="Times New Roman" w:cs="Times New Roman"/>
          <w:color w:val="000000"/>
          <w:sz w:val="26"/>
          <w:szCs w:val="26"/>
        </w:rPr>
        <w:t xml:space="preserve">5 до 18 лет, </w:t>
      </w:r>
      <w:r>
        <w:rPr>
          <w:rFonts w:ascii="Times New Roman" w:eastAsia="Times New Roman" w:hAnsi="Times New Roman" w:cs="Times New Roman"/>
          <w:bCs/>
          <w:color w:val="000000"/>
          <w:sz w:val="26"/>
          <w:szCs w:val="26"/>
        </w:rPr>
        <w:t xml:space="preserve">обучающихся </w:t>
      </w:r>
      <w:r>
        <w:rPr>
          <w:rFonts w:ascii="Times New Roman" w:eastAsia="Times New Roman" w:hAnsi="Times New Roman" w:cs="Times New Roman"/>
          <w:color w:val="000000"/>
          <w:sz w:val="26"/>
          <w:szCs w:val="26"/>
        </w:rPr>
        <w:t xml:space="preserve">по дополнительным образовательным программам, в обшей численности </w:t>
      </w:r>
      <w:r>
        <w:rPr>
          <w:rFonts w:ascii="Times New Roman" w:eastAsia="Times New Roman" w:hAnsi="Times New Roman" w:cs="Times New Roman"/>
          <w:bCs/>
          <w:color w:val="000000"/>
          <w:sz w:val="26"/>
          <w:szCs w:val="26"/>
        </w:rPr>
        <w:t>детей этого возраста.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области сформирована рациональная и эффективная система дополнительного образования: проведена оптимизация и реструктуризация сети организаций дополнительного образования; </w:t>
      </w:r>
      <w:r>
        <w:rPr>
          <w:rFonts w:ascii="Times New Roman" w:eastAsia="Times New Roman" w:hAnsi="Times New Roman" w:cs="Times New Roman"/>
          <w:bCs/>
          <w:color w:val="000000"/>
          <w:sz w:val="26"/>
          <w:szCs w:val="26"/>
        </w:rPr>
        <w:t xml:space="preserve">выстроены адекватные </w:t>
      </w:r>
      <w:r>
        <w:rPr>
          <w:rFonts w:ascii="Times New Roman" w:eastAsia="Times New Roman" w:hAnsi="Times New Roman" w:cs="Times New Roman"/>
          <w:color w:val="000000"/>
          <w:sz w:val="26"/>
          <w:szCs w:val="26"/>
        </w:rPr>
        <w:t xml:space="preserve">конкретным условиям территории (муниципального образования, города, микрорайона) системы предоставления дополнительных образовательных </w:t>
      </w:r>
      <w:r>
        <w:rPr>
          <w:rFonts w:ascii="Times New Roman" w:eastAsia="Times New Roman" w:hAnsi="Times New Roman" w:cs="Times New Roman"/>
          <w:bCs/>
          <w:color w:val="000000"/>
          <w:sz w:val="26"/>
          <w:szCs w:val="26"/>
        </w:rPr>
        <w:t xml:space="preserve">услуг </w:t>
      </w:r>
      <w:r>
        <w:rPr>
          <w:rFonts w:ascii="Times New Roman" w:eastAsia="Times New Roman" w:hAnsi="Times New Roman" w:cs="Times New Roman"/>
          <w:color w:val="000000"/>
          <w:sz w:val="26"/>
          <w:szCs w:val="26"/>
        </w:rPr>
        <w:t>детскому населению.</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Наблюдается положительная тенденция увеличения количества кружков, секций и объединений, открытых организациями дополнительного образования в общеобразовательных организациях. На их базе функционирует 1 065 творческих объединений, где обучающиеся имеют возможность, не выходя из стен школы, получать дополнительные знания и развивать свои способности.</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Общий охват кружковой работой в общеобразовательных организациях составляет более 35 тыс. человек, это около 40 % от общего количества детей, занятых в системе дополнительного образования.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В адрес Уполномоченного в рамках рассмотрения обращений обеспечения прав на дополнительное образование, поступили обращения по вопросам деятельности учреждений спорта. По обращению об обжаловании отказа от участия в соревнованиях несовершеннолетних иностранных граждан и лиц без гражданства с привлечением органов прокуратуры удалось восстановить нарушенные права юных спортсменов. По вопросу приостановления тренировок в связи с поломкой специального оборудования в одной из спортивных школ был решен вопрос с предоставлением временной тренировочной базы для продолжения тренировок и ремонтом вышедшего из строя оборудования.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Работа по обеспечению беспрепятственного </w:t>
      </w:r>
      <w:r>
        <w:rPr>
          <w:rFonts w:ascii="Times New Roman" w:eastAsia="Times New Roman" w:hAnsi="Times New Roman" w:cs="Times New Roman"/>
          <w:bCs/>
          <w:color w:val="000000"/>
          <w:sz w:val="26"/>
          <w:szCs w:val="26"/>
        </w:rPr>
        <w:t xml:space="preserve">доступа </w:t>
      </w:r>
      <w:r>
        <w:rPr>
          <w:rFonts w:ascii="Times New Roman" w:eastAsia="Times New Roman" w:hAnsi="Times New Roman" w:cs="Times New Roman"/>
          <w:color w:val="000000"/>
          <w:sz w:val="26"/>
          <w:szCs w:val="26"/>
        </w:rPr>
        <w:t xml:space="preserve">детей-инвалидов к объектам </w:t>
      </w:r>
      <w:r>
        <w:rPr>
          <w:rFonts w:ascii="Times New Roman" w:eastAsia="Times New Roman" w:hAnsi="Times New Roman" w:cs="Times New Roman"/>
          <w:bCs/>
          <w:color w:val="000000"/>
          <w:sz w:val="26"/>
          <w:szCs w:val="26"/>
        </w:rPr>
        <w:t xml:space="preserve">образования </w:t>
      </w:r>
      <w:r>
        <w:rPr>
          <w:rFonts w:ascii="Times New Roman" w:eastAsia="Times New Roman" w:hAnsi="Times New Roman" w:cs="Times New Roman"/>
          <w:color w:val="000000"/>
          <w:sz w:val="26"/>
          <w:szCs w:val="26"/>
        </w:rPr>
        <w:t xml:space="preserve">осуществляется в рамках </w:t>
      </w:r>
      <w:r>
        <w:rPr>
          <w:rFonts w:ascii="Times New Roman" w:eastAsia="Times New Roman" w:hAnsi="Times New Roman" w:cs="Times New Roman"/>
          <w:bCs/>
          <w:color w:val="000000"/>
          <w:sz w:val="26"/>
          <w:szCs w:val="26"/>
        </w:rPr>
        <w:t xml:space="preserve">реализации </w:t>
      </w:r>
      <w:r>
        <w:rPr>
          <w:rFonts w:ascii="Times New Roman" w:eastAsia="Times New Roman" w:hAnsi="Times New Roman" w:cs="Times New Roman"/>
          <w:color w:val="000000"/>
          <w:sz w:val="26"/>
          <w:szCs w:val="26"/>
        </w:rPr>
        <w:t xml:space="preserve">мероприятия «Создание условий для обучения </w:t>
      </w:r>
      <w:r>
        <w:rPr>
          <w:rFonts w:ascii="Times New Roman" w:eastAsia="Times New Roman" w:hAnsi="Times New Roman" w:cs="Times New Roman"/>
          <w:bCs/>
          <w:color w:val="000000"/>
          <w:sz w:val="26"/>
          <w:szCs w:val="26"/>
        </w:rPr>
        <w:t xml:space="preserve">детей-инвалидов </w:t>
      </w:r>
      <w:r>
        <w:rPr>
          <w:rFonts w:ascii="Times New Roman" w:eastAsia="Times New Roman" w:hAnsi="Times New Roman" w:cs="Times New Roman"/>
          <w:color w:val="000000"/>
          <w:sz w:val="26"/>
          <w:szCs w:val="26"/>
        </w:rPr>
        <w:t xml:space="preserve">в </w:t>
      </w:r>
      <w:r>
        <w:rPr>
          <w:rFonts w:ascii="Times New Roman" w:eastAsia="Times New Roman" w:hAnsi="Times New Roman" w:cs="Times New Roman"/>
          <w:bCs/>
          <w:color w:val="000000"/>
          <w:sz w:val="26"/>
          <w:szCs w:val="26"/>
        </w:rPr>
        <w:t xml:space="preserve">дошкольных </w:t>
      </w:r>
      <w:r>
        <w:rPr>
          <w:rFonts w:ascii="Times New Roman" w:eastAsia="Times New Roman" w:hAnsi="Times New Roman" w:cs="Times New Roman"/>
          <w:color w:val="000000"/>
          <w:sz w:val="26"/>
          <w:szCs w:val="26"/>
        </w:rPr>
        <w:t xml:space="preserve">образовательных, общеобразовательных организациях, организациях дополнительного образования </w:t>
      </w:r>
      <w:r>
        <w:rPr>
          <w:rFonts w:ascii="Times New Roman" w:eastAsia="Times New Roman" w:hAnsi="Times New Roman" w:cs="Times New Roman"/>
          <w:bCs/>
          <w:color w:val="000000"/>
          <w:sz w:val="26"/>
          <w:szCs w:val="26"/>
        </w:rPr>
        <w:t xml:space="preserve">детей </w:t>
      </w:r>
      <w:r>
        <w:rPr>
          <w:rFonts w:ascii="Times New Roman" w:eastAsia="Times New Roman" w:hAnsi="Times New Roman" w:cs="Times New Roman"/>
          <w:color w:val="000000"/>
          <w:sz w:val="26"/>
          <w:szCs w:val="26"/>
        </w:rPr>
        <w:t xml:space="preserve">(в том числе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организациях, </w:t>
      </w:r>
      <w:r>
        <w:rPr>
          <w:rFonts w:ascii="Times New Roman" w:eastAsia="Times New Roman" w:hAnsi="Times New Roman" w:cs="Times New Roman"/>
          <w:bCs/>
          <w:color w:val="000000"/>
          <w:sz w:val="26"/>
          <w:szCs w:val="26"/>
        </w:rPr>
        <w:t xml:space="preserve">осуществляющих </w:t>
      </w:r>
      <w:r>
        <w:rPr>
          <w:rFonts w:ascii="Times New Roman" w:eastAsia="Times New Roman" w:hAnsi="Times New Roman" w:cs="Times New Roman"/>
          <w:color w:val="000000"/>
          <w:sz w:val="26"/>
          <w:szCs w:val="26"/>
        </w:rPr>
        <w:t xml:space="preserve">образовательную </w:t>
      </w:r>
      <w:r>
        <w:rPr>
          <w:rFonts w:ascii="Times New Roman" w:eastAsia="Times New Roman" w:hAnsi="Times New Roman" w:cs="Times New Roman"/>
          <w:bCs/>
          <w:color w:val="000000"/>
          <w:sz w:val="26"/>
          <w:szCs w:val="26"/>
        </w:rPr>
        <w:t xml:space="preserve">деятельность </w:t>
      </w:r>
      <w:r>
        <w:rPr>
          <w:rFonts w:ascii="Times New Roman" w:eastAsia="Times New Roman" w:hAnsi="Times New Roman" w:cs="Times New Roman"/>
          <w:color w:val="000000"/>
          <w:sz w:val="26"/>
          <w:szCs w:val="26"/>
        </w:rPr>
        <w:t xml:space="preserve">по адаптированным основным общеобразовательным программам), в том числе создание </w:t>
      </w:r>
      <w:r>
        <w:rPr>
          <w:rFonts w:ascii="Times New Roman" w:eastAsia="Times New Roman" w:hAnsi="Times New Roman" w:cs="Times New Roman"/>
          <w:bCs/>
          <w:color w:val="000000"/>
          <w:sz w:val="26"/>
          <w:szCs w:val="26"/>
        </w:rPr>
        <w:t xml:space="preserve">архитектурной доступности </w:t>
      </w:r>
      <w:r>
        <w:rPr>
          <w:rFonts w:ascii="Times New Roman" w:eastAsia="Times New Roman" w:hAnsi="Times New Roman" w:cs="Times New Roman"/>
          <w:color w:val="000000"/>
          <w:sz w:val="26"/>
          <w:szCs w:val="26"/>
        </w:rPr>
        <w:t xml:space="preserve">и оснащение оборудованием» государственной программы «Доступная среда». За 2012-2018 годы созданы условия для инклюзивного образования </w:t>
      </w:r>
      <w:r>
        <w:rPr>
          <w:rFonts w:ascii="Times New Roman" w:eastAsia="Times New Roman" w:hAnsi="Times New Roman" w:cs="Times New Roman"/>
          <w:bCs/>
          <w:color w:val="000000"/>
          <w:sz w:val="26"/>
          <w:szCs w:val="26"/>
        </w:rPr>
        <w:t xml:space="preserve">детей-инвалидов </w:t>
      </w:r>
      <w:r>
        <w:rPr>
          <w:rFonts w:ascii="Times New Roman" w:eastAsia="Times New Roman" w:hAnsi="Times New Roman" w:cs="Times New Roman"/>
          <w:color w:val="000000"/>
          <w:sz w:val="26"/>
          <w:szCs w:val="26"/>
        </w:rPr>
        <w:t xml:space="preserve">в 75 общеобразовательных организациях, 23 </w:t>
      </w:r>
      <w:r>
        <w:rPr>
          <w:rFonts w:ascii="Times New Roman" w:eastAsia="Times New Roman" w:hAnsi="Times New Roman" w:cs="Times New Roman"/>
          <w:bCs/>
          <w:color w:val="000000"/>
          <w:sz w:val="26"/>
          <w:szCs w:val="26"/>
        </w:rPr>
        <w:t xml:space="preserve">дошкольных </w:t>
      </w:r>
      <w:r>
        <w:rPr>
          <w:rFonts w:ascii="Times New Roman" w:eastAsia="Times New Roman" w:hAnsi="Times New Roman" w:cs="Times New Roman"/>
          <w:color w:val="000000"/>
          <w:sz w:val="26"/>
          <w:szCs w:val="26"/>
        </w:rPr>
        <w:t>образовательных организациях, а именно:</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созданы основные элементы </w:t>
      </w:r>
      <w:r>
        <w:rPr>
          <w:rFonts w:ascii="Times New Roman" w:eastAsia="Times New Roman" w:hAnsi="Times New Roman" w:cs="Times New Roman"/>
          <w:bCs/>
          <w:color w:val="000000"/>
          <w:sz w:val="26"/>
          <w:szCs w:val="26"/>
        </w:rPr>
        <w:t xml:space="preserve">архитектурной </w:t>
      </w:r>
      <w:r>
        <w:rPr>
          <w:rFonts w:ascii="Times New Roman" w:eastAsia="Times New Roman" w:hAnsi="Times New Roman" w:cs="Times New Roman"/>
          <w:color w:val="000000"/>
          <w:sz w:val="26"/>
          <w:szCs w:val="26"/>
        </w:rPr>
        <w:t xml:space="preserve">доступности для лиц с нарушением опорно-двигательного аппарата - установлены пандусы, расширены дверные </w:t>
      </w:r>
      <w:r>
        <w:rPr>
          <w:rFonts w:ascii="Times New Roman" w:eastAsia="Times New Roman" w:hAnsi="Times New Roman" w:cs="Times New Roman"/>
          <w:bCs/>
          <w:color w:val="000000"/>
          <w:sz w:val="26"/>
          <w:szCs w:val="26"/>
        </w:rPr>
        <w:t xml:space="preserve">проемы, </w:t>
      </w:r>
      <w:r>
        <w:rPr>
          <w:rFonts w:ascii="Times New Roman" w:eastAsia="Times New Roman" w:hAnsi="Times New Roman" w:cs="Times New Roman"/>
          <w:color w:val="000000"/>
          <w:sz w:val="26"/>
          <w:szCs w:val="26"/>
        </w:rPr>
        <w:t xml:space="preserve">оборудованы </w:t>
      </w:r>
      <w:r>
        <w:rPr>
          <w:rFonts w:ascii="Times New Roman" w:eastAsia="Times New Roman" w:hAnsi="Times New Roman" w:cs="Times New Roman"/>
          <w:bCs/>
          <w:color w:val="000000"/>
          <w:sz w:val="26"/>
          <w:szCs w:val="26"/>
        </w:rPr>
        <w:t xml:space="preserve">санитарно-гигиенические </w:t>
      </w:r>
      <w:r>
        <w:rPr>
          <w:rFonts w:ascii="Times New Roman" w:eastAsia="Times New Roman" w:hAnsi="Times New Roman" w:cs="Times New Roman"/>
          <w:color w:val="000000"/>
          <w:sz w:val="26"/>
          <w:szCs w:val="26"/>
        </w:rPr>
        <w:t>помещения, на первом этаже установлены перила вдоль стен внутри здания;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закуплено специальное учебное, реабилитационное и компьютерное </w:t>
      </w:r>
      <w:r>
        <w:rPr>
          <w:rFonts w:ascii="Times New Roman" w:eastAsia="Times New Roman" w:hAnsi="Times New Roman" w:cs="Times New Roman"/>
          <w:bCs/>
          <w:color w:val="000000"/>
          <w:sz w:val="26"/>
          <w:szCs w:val="26"/>
        </w:rPr>
        <w:t xml:space="preserve">оборудование </w:t>
      </w:r>
      <w:r>
        <w:rPr>
          <w:rFonts w:ascii="Times New Roman" w:eastAsia="Times New Roman" w:hAnsi="Times New Roman" w:cs="Times New Roman"/>
          <w:color w:val="000000"/>
          <w:sz w:val="26"/>
          <w:szCs w:val="26"/>
        </w:rPr>
        <w:t xml:space="preserve">(коррекционно-развивающие и коррекционно-диагностические комплексы, </w:t>
      </w:r>
      <w:r>
        <w:rPr>
          <w:rFonts w:ascii="Times New Roman" w:eastAsia="Times New Roman" w:hAnsi="Times New Roman" w:cs="Times New Roman"/>
          <w:bCs/>
          <w:color w:val="000000"/>
          <w:sz w:val="26"/>
          <w:szCs w:val="26"/>
        </w:rPr>
        <w:t xml:space="preserve">оборудование </w:t>
      </w:r>
      <w:r>
        <w:rPr>
          <w:rFonts w:ascii="Times New Roman" w:eastAsia="Times New Roman" w:hAnsi="Times New Roman" w:cs="Times New Roman"/>
          <w:color w:val="000000"/>
          <w:sz w:val="26"/>
          <w:szCs w:val="26"/>
        </w:rPr>
        <w:t xml:space="preserve">для кабинета логопеда и психолога, оборудование в комнату психологической разгрузки, ученические столы с регулируемой поверхностью </w:t>
      </w:r>
      <w:r>
        <w:rPr>
          <w:rFonts w:ascii="Times New Roman" w:eastAsia="Times New Roman" w:hAnsi="Times New Roman" w:cs="Times New Roman"/>
          <w:bCs/>
          <w:color w:val="000000"/>
          <w:sz w:val="26"/>
          <w:szCs w:val="26"/>
        </w:rPr>
        <w:t xml:space="preserve">для </w:t>
      </w:r>
      <w:r>
        <w:rPr>
          <w:rFonts w:ascii="Times New Roman" w:eastAsia="Times New Roman" w:hAnsi="Times New Roman" w:cs="Times New Roman"/>
          <w:color w:val="000000"/>
          <w:sz w:val="26"/>
          <w:szCs w:val="26"/>
        </w:rPr>
        <w:t xml:space="preserve">детей </w:t>
      </w:r>
      <w:r>
        <w:rPr>
          <w:rFonts w:ascii="Times New Roman" w:eastAsia="Times New Roman" w:hAnsi="Times New Roman" w:cs="Times New Roman"/>
          <w:bCs/>
          <w:color w:val="000000"/>
          <w:sz w:val="26"/>
          <w:szCs w:val="26"/>
        </w:rPr>
        <w:t xml:space="preserve">с </w:t>
      </w:r>
      <w:r>
        <w:rPr>
          <w:rFonts w:ascii="Times New Roman" w:eastAsia="Times New Roman" w:hAnsi="Times New Roman" w:cs="Times New Roman"/>
          <w:color w:val="000000"/>
          <w:sz w:val="26"/>
          <w:szCs w:val="26"/>
        </w:rPr>
        <w:t xml:space="preserve">ДЦП, </w:t>
      </w:r>
      <w:r>
        <w:rPr>
          <w:rFonts w:ascii="Times New Roman" w:eastAsia="Times New Roman" w:hAnsi="Times New Roman" w:cs="Times New Roman"/>
          <w:bCs/>
          <w:color w:val="000000"/>
          <w:sz w:val="26"/>
          <w:szCs w:val="26"/>
        </w:rPr>
        <w:t xml:space="preserve">офтальмотренажеры </w:t>
      </w:r>
      <w:r>
        <w:rPr>
          <w:rFonts w:ascii="Times New Roman" w:eastAsia="Times New Roman" w:hAnsi="Times New Roman" w:cs="Times New Roman"/>
          <w:color w:val="000000"/>
          <w:sz w:val="26"/>
          <w:szCs w:val="26"/>
        </w:rPr>
        <w:t xml:space="preserve">и др.). Оборудование в учреждение закупалось с учетом особых </w:t>
      </w:r>
      <w:r>
        <w:rPr>
          <w:rFonts w:ascii="Times New Roman" w:eastAsia="Times New Roman" w:hAnsi="Times New Roman" w:cs="Times New Roman"/>
          <w:bCs/>
          <w:color w:val="000000"/>
          <w:sz w:val="26"/>
          <w:szCs w:val="26"/>
        </w:rPr>
        <w:t xml:space="preserve">потребностей </w:t>
      </w:r>
      <w:r>
        <w:rPr>
          <w:rFonts w:ascii="Times New Roman" w:eastAsia="Times New Roman" w:hAnsi="Times New Roman" w:cs="Times New Roman"/>
          <w:color w:val="000000"/>
          <w:sz w:val="26"/>
          <w:szCs w:val="26"/>
        </w:rPr>
        <w:t>детей-инвалидов и детей с ограниченными возможностями здоровья, обучаемых в учреждении. Целевые показатели федеральной и региональной программ выполняются: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детей-инвалидов школьного возраста (в 2018 году - 98 %);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доля детей-инвалидов в возрасте от 5 до 18 лет, получающих дополнительное образование, в общей численности детей-инвалидов данного возраста (в 2018 году -               40 %);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доля дошкольных образовательных организаций, в которых создана </w:t>
      </w:r>
      <w:r>
        <w:rPr>
          <w:rFonts w:ascii="Times New Roman" w:eastAsia="Times New Roman" w:hAnsi="Times New Roman" w:cs="Times New Roman"/>
          <w:bCs/>
          <w:color w:val="000000"/>
          <w:sz w:val="26"/>
          <w:szCs w:val="26"/>
        </w:rPr>
        <w:t xml:space="preserve">универсальная </w:t>
      </w:r>
      <w:r>
        <w:rPr>
          <w:rFonts w:ascii="Times New Roman" w:eastAsia="Times New Roman" w:hAnsi="Times New Roman" w:cs="Times New Roman"/>
          <w:color w:val="000000"/>
          <w:sz w:val="26"/>
          <w:szCs w:val="26"/>
        </w:rPr>
        <w:t xml:space="preserve">безбарьерная среда для инклюзивного образования детей-инвалидов, в общем количестве </w:t>
      </w:r>
      <w:r>
        <w:rPr>
          <w:rFonts w:ascii="Times New Roman" w:eastAsia="Times New Roman" w:hAnsi="Times New Roman" w:cs="Times New Roman"/>
          <w:bCs/>
          <w:color w:val="000000"/>
          <w:sz w:val="26"/>
          <w:szCs w:val="26"/>
        </w:rPr>
        <w:t xml:space="preserve">дошкольных </w:t>
      </w:r>
      <w:r>
        <w:rPr>
          <w:rFonts w:ascii="Times New Roman" w:eastAsia="Times New Roman" w:hAnsi="Times New Roman" w:cs="Times New Roman"/>
          <w:color w:val="000000"/>
          <w:sz w:val="26"/>
          <w:szCs w:val="26"/>
        </w:rPr>
        <w:t>образовательных организаций (в 2018 году - 17,5 %);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доля детей-инвалидов в возрасте от 1,5 до 7 лет, охваченных дошкольным образованием, в общей численности </w:t>
      </w:r>
      <w:r>
        <w:rPr>
          <w:rFonts w:ascii="Times New Roman" w:eastAsia="Times New Roman" w:hAnsi="Times New Roman" w:cs="Times New Roman"/>
          <w:bCs/>
          <w:color w:val="000000"/>
          <w:sz w:val="26"/>
          <w:szCs w:val="26"/>
        </w:rPr>
        <w:t xml:space="preserve">детей-инвалидов </w:t>
      </w:r>
      <w:r>
        <w:rPr>
          <w:rFonts w:ascii="Times New Roman" w:eastAsia="Times New Roman" w:hAnsi="Times New Roman" w:cs="Times New Roman"/>
          <w:color w:val="000000"/>
          <w:sz w:val="26"/>
          <w:szCs w:val="26"/>
        </w:rPr>
        <w:t>данного возраста (в 2018 году               90 %);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доля общеобразовательных организаций, в которых создана универсальная безбарьерная среда для </w:t>
      </w:r>
      <w:r>
        <w:rPr>
          <w:rFonts w:ascii="Times New Roman" w:eastAsia="Times New Roman" w:hAnsi="Times New Roman" w:cs="Times New Roman"/>
          <w:bCs/>
          <w:color w:val="000000"/>
          <w:sz w:val="26"/>
          <w:szCs w:val="26"/>
        </w:rPr>
        <w:t xml:space="preserve">инклюзивного </w:t>
      </w:r>
      <w:r>
        <w:rPr>
          <w:rFonts w:ascii="Times New Roman" w:eastAsia="Times New Roman" w:hAnsi="Times New Roman" w:cs="Times New Roman"/>
          <w:color w:val="000000"/>
          <w:sz w:val="26"/>
          <w:szCs w:val="26"/>
        </w:rPr>
        <w:t xml:space="preserve">образования детей-инвалидов, в общем </w:t>
      </w:r>
      <w:r>
        <w:rPr>
          <w:rFonts w:ascii="Times New Roman" w:eastAsia="Times New Roman" w:hAnsi="Times New Roman" w:cs="Times New Roman"/>
          <w:bCs/>
          <w:color w:val="000000"/>
          <w:sz w:val="26"/>
          <w:szCs w:val="26"/>
        </w:rPr>
        <w:t xml:space="preserve">количестве </w:t>
      </w:r>
      <w:r>
        <w:rPr>
          <w:rFonts w:ascii="Times New Roman" w:eastAsia="Times New Roman" w:hAnsi="Times New Roman" w:cs="Times New Roman"/>
          <w:color w:val="000000"/>
          <w:sz w:val="26"/>
          <w:szCs w:val="26"/>
        </w:rPr>
        <w:t>общеобразовательных организаций (в 2018 году - 22,3 %</w:t>
      </w:r>
      <w:r>
        <w:rPr>
          <w:rFonts w:ascii="Times New Roman" w:eastAsia="Times New Roman" w:hAnsi="Times New Roman" w:cs="Times New Roman"/>
          <w:iCs/>
          <w:color w:val="000000"/>
          <w:sz w:val="26"/>
          <w:szCs w:val="26"/>
        </w:rPr>
        <w:t>);</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доля выпускников-инвалидов 9 и 11 </w:t>
      </w:r>
      <w:r>
        <w:rPr>
          <w:rFonts w:ascii="Times New Roman" w:eastAsia="Times New Roman" w:hAnsi="Times New Roman" w:cs="Times New Roman"/>
          <w:bCs/>
          <w:color w:val="000000"/>
          <w:sz w:val="26"/>
          <w:szCs w:val="26"/>
        </w:rPr>
        <w:t xml:space="preserve">классов, </w:t>
      </w:r>
      <w:r>
        <w:rPr>
          <w:rFonts w:ascii="Times New Roman" w:eastAsia="Times New Roman" w:hAnsi="Times New Roman" w:cs="Times New Roman"/>
          <w:color w:val="000000"/>
          <w:sz w:val="26"/>
          <w:szCs w:val="26"/>
        </w:rPr>
        <w:t>охваченных профориентационной работой, в общей численности выпускников-инвалидов (в 2018 году 90 %).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 2018 году Уполномоченным проведен мониторинг соблюдения прав детей-инвалидов и детей с ограниченными возможностями здоровья на образование на территории Калужской области.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Мониторинг был  проведен по следующим основным направлениям: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Осуществление образовательной деятельности в организациях, осуществляющих образовательную деятельность по реализации общеобразовательных и адаптированных основных общеобразовательных программ.</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 Обеспечение инвалидов и их родителей (законных представителей) информацией по вопросам получения образования, в том числе методическое и кадровое обеспечение.</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 Оказание психолого-педагогической поддержки при получении образования, в том числе вопросы формирования позитивного отношения к обучающимся.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 Обеспечение условий доступности для инвалидов объектов и предоставляемых услуг в сфере образования.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Организация обучения детей-инвалидов по основным общеобразовательных программам на дому и в форме семейного образования.</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 Обеспечение инвалидов и их родителей (законных представителей) информацией по вопросам получения образования, в том числе методическое и кадровое обеспечение.</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2.2. Оказание психолого-педагогической поддержки при получении образования, в том числе решение вопросов интеграции в общество, восполнение необходимости общения со сверстниками и активного участия в жизни общества.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 Доступность и качество образовательных услуг, контроль и оценка эффективности предоставляемых услуг.</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2.4. Обеспечение законности процедур оформления на данный вид обучения. </w:t>
      </w:r>
    </w:p>
    <w:p>
      <w:pPr>
        <w:spacing w:after="0" w:line="360" w:lineRule="auto"/>
        <w:ind w:firstLine="709"/>
        <w:contextualSpacing/>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По итогам проведенного мониторинга Уполномоченным сформирован ряд рекомендаций:</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 организовать обеспечение детей-инвалидов и их родителей информацией по вопросам получения образования посредством размещения информации на сайтах отделов образования, образовательных учреждений (размещение локальных нормативных актов, регулирующих вопросы получения образования данной категории, возможности образовательных учреждений организовать внеурочную деятельность, информацию по возможностям муниципального района в сфере дополнительного образования, социальных услуг и спорта для данной категории лиц и т.д.), а также использовать иные способы информирования населения;</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 уделить необходимое внимание вопросу устранения дефицита кадров психолого-педагогического и медицинского сопровождения в образовательных учреждениях региона, в том числе усилением работы по организации  целевого направления обучения специалистов, информированности молодежи о программах поддержки молодых специалистов, популяризации профессий данного направления;</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 обеспечить рост числа обучающихся сотрудников образовательных учреждений региона по программам подготовки и повышения квалификации, содержащим вопросы организации и особенностей обучения детей-инвалидов и детей с ограниченными возможностями здоровья;</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bCs/>
          <w:color w:val="000000"/>
          <w:sz w:val="26"/>
          <w:szCs w:val="26"/>
        </w:rPr>
        <w:t>- проанализировать вопросы обеспечения специальных условий для получения образования детьми с ограниченными возможностями здоровья и инвалидностью в дошкольных и общеобразовательных организациях муниципальных районов и городских округов Калужской области, в том числе в части обеспечения обозначенных условий при участии в государственной программе «Доступная среда».</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А также поставлен вопрос о региональном регулировании обеспечения питанием детей-инвалидов и детей с ограниченными возможностями здоровья, обучающихся на дому. </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Организация питания </w:t>
      </w:r>
      <w:r>
        <w:rPr>
          <w:rFonts w:ascii="Times New Roman" w:eastAsia="Times New Roman" w:hAnsi="Times New Roman" w:cs="Times New Roman"/>
          <w:bCs/>
          <w:color w:val="000000"/>
          <w:sz w:val="26"/>
          <w:szCs w:val="26"/>
        </w:rPr>
        <w:t xml:space="preserve">обучающихся </w:t>
      </w:r>
      <w:r>
        <w:rPr>
          <w:rFonts w:ascii="Times New Roman" w:eastAsia="Times New Roman" w:hAnsi="Times New Roman" w:cs="Times New Roman"/>
          <w:color w:val="000000"/>
          <w:sz w:val="26"/>
          <w:szCs w:val="26"/>
        </w:rPr>
        <w:t xml:space="preserve">в период их нахождения в </w:t>
      </w:r>
      <w:r>
        <w:rPr>
          <w:rFonts w:ascii="Times New Roman" w:eastAsia="Times New Roman" w:hAnsi="Times New Roman" w:cs="Times New Roman"/>
          <w:bCs/>
          <w:color w:val="000000"/>
          <w:sz w:val="26"/>
          <w:szCs w:val="26"/>
        </w:rPr>
        <w:t xml:space="preserve">муниципальных </w:t>
      </w:r>
      <w:r>
        <w:rPr>
          <w:rFonts w:ascii="Times New Roman" w:eastAsia="Times New Roman" w:hAnsi="Times New Roman" w:cs="Times New Roman"/>
          <w:color w:val="000000"/>
          <w:sz w:val="26"/>
          <w:szCs w:val="26"/>
        </w:rPr>
        <w:t>общеобразовательных организациях находится в компетенции органов местного самоуправления.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Во всех муниципальных районах </w:t>
      </w:r>
      <w:r>
        <w:rPr>
          <w:rFonts w:ascii="Times New Roman" w:eastAsia="Times New Roman" w:hAnsi="Times New Roman" w:cs="Times New Roman"/>
          <w:bCs/>
          <w:color w:val="000000"/>
          <w:sz w:val="26"/>
          <w:szCs w:val="26"/>
        </w:rPr>
        <w:t xml:space="preserve">и </w:t>
      </w:r>
      <w:r>
        <w:rPr>
          <w:rFonts w:ascii="Times New Roman" w:eastAsia="Times New Roman" w:hAnsi="Times New Roman" w:cs="Times New Roman"/>
          <w:color w:val="000000"/>
          <w:sz w:val="26"/>
          <w:szCs w:val="26"/>
        </w:rPr>
        <w:t xml:space="preserve">городских округах </w:t>
      </w:r>
      <w:r>
        <w:rPr>
          <w:rFonts w:ascii="Times New Roman" w:eastAsia="Times New Roman" w:hAnsi="Times New Roman" w:cs="Times New Roman"/>
          <w:bCs/>
          <w:color w:val="000000"/>
          <w:sz w:val="26"/>
          <w:szCs w:val="26"/>
        </w:rPr>
        <w:t xml:space="preserve">Калужской области </w:t>
      </w:r>
      <w:r>
        <w:rPr>
          <w:rFonts w:ascii="Times New Roman" w:eastAsia="Times New Roman" w:hAnsi="Times New Roman" w:cs="Times New Roman"/>
          <w:color w:val="000000"/>
          <w:sz w:val="26"/>
          <w:szCs w:val="26"/>
        </w:rPr>
        <w:t xml:space="preserve">утверждены муниципальные программы по </w:t>
      </w:r>
      <w:r>
        <w:rPr>
          <w:rFonts w:ascii="Times New Roman" w:eastAsia="Times New Roman" w:hAnsi="Times New Roman" w:cs="Times New Roman"/>
          <w:bCs/>
          <w:color w:val="000000"/>
          <w:sz w:val="26"/>
          <w:szCs w:val="26"/>
        </w:rPr>
        <w:t xml:space="preserve">совершенствованию </w:t>
      </w:r>
      <w:r>
        <w:rPr>
          <w:rFonts w:ascii="Times New Roman" w:eastAsia="Times New Roman" w:hAnsi="Times New Roman" w:cs="Times New Roman"/>
          <w:color w:val="000000"/>
          <w:sz w:val="26"/>
          <w:szCs w:val="26"/>
        </w:rPr>
        <w:t xml:space="preserve">организации школьного питания, предусматривающие финансирование из муниципальных бюджетов. </w:t>
      </w:r>
      <w:r>
        <w:rPr>
          <w:rFonts w:ascii="Times New Roman" w:eastAsia="Times New Roman" w:hAnsi="Times New Roman" w:cs="Times New Roman"/>
          <w:color w:val="000000"/>
          <w:sz w:val="26"/>
          <w:szCs w:val="26"/>
        </w:rPr>
        <w:tab/>
        <w:t xml:space="preserve">Нормативными правовыми </w:t>
      </w:r>
      <w:r>
        <w:rPr>
          <w:rFonts w:ascii="Times New Roman" w:eastAsia="Times New Roman" w:hAnsi="Times New Roman" w:cs="Times New Roman"/>
          <w:bCs/>
          <w:color w:val="000000"/>
          <w:sz w:val="26"/>
          <w:szCs w:val="26"/>
        </w:rPr>
        <w:t xml:space="preserve">актами </w:t>
      </w:r>
      <w:r>
        <w:rPr>
          <w:rFonts w:ascii="Times New Roman" w:eastAsia="Times New Roman" w:hAnsi="Times New Roman" w:cs="Times New Roman"/>
          <w:color w:val="000000"/>
          <w:sz w:val="26"/>
          <w:szCs w:val="26"/>
        </w:rPr>
        <w:t xml:space="preserve">органов местного самоуправления определяются порядок организации питания, категории обучающихся, обеспечивающихся </w:t>
      </w:r>
      <w:r>
        <w:rPr>
          <w:rFonts w:ascii="Times New Roman" w:eastAsia="Times New Roman" w:hAnsi="Times New Roman" w:cs="Times New Roman"/>
          <w:bCs/>
          <w:color w:val="000000"/>
          <w:sz w:val="26"/>
          <w:szCs w:val="26"/>
        </w:rPr>
        <w:t xml:space="preserve">льготным </w:t>
      </w:r>
      <w:r>
        <w:rPr>
          <w:rFonts w:ascii="Times New Roman" w:eastAsia="Times New Roman" w:hAnsi="Times New Roman" w:cs="Times New Roman"/>
          <w:color w:val="000000"/>
          <w:sz w:val="26"/>
          <w:szCs w:val="26"/>
        </w:rPr>
        <w:t xml:space="preserve">или бесплатным питанием. Основными категориями, получающими бесплатное питание, являются учащиеся 1-11 классов, проживающие </w:t>
      </w:r>
      <w:r>
        <w:rPr>
          <w:rFonts w:ascii="Times New Roman" w:eastAsia="Times New Roman" w:hAnsi="Times New Roman" w:cs="Times New Roman"/>
          <w:bCs/>
          <w:color w:val="000000"/>
          <w:sz w:val="26"/>
          <w:szCs w:val="26"/>
        </w:rPr>
        <w:t xml:space="preserve">в </w:t>
      </w:r>
      <w:r>
        <w:rPr>
          <w:rFonts w:ascii="Times New Roman" w:eastAsia="Times New Roman" w:hAnsi="Times New Roman" w:cs="Times New Roman"/>
          <w:color w:val="000000"/>
          <w:sz w:val="26"/>
          <w:szCs w:val="26"/>
        </w:rPr>
        <w:t xml:space="preserve">неполных, </w:t>
      </w:r>
      <w:r>
        <w:rPr>
          <w:rFonts w:ascii="Times New Roman" w:eastAsia="Times New Roman" w:hAnsi="Times New Roman" w:cs="Times New Roman"/>
          <w:bCs/>
          <w:color w:val="000000"/>
          <w:sz w:val="26"/>
          <w:szCs w:val="26"/>
        </w:rPr>
        <w:t xml:space="preserve">многодетных, </w:t>
      </w:r>
      <w:r>
        <w:rPr>
          <w:rFonts w:ascii="Times New Roman" w:eastAsia="Times New Roman" w:hAnsi="Times New Roman" w:cs="Times New Roman"/>
          <w:color w:val="000000"/>
          <w:sz w:val="26"/>
          <w:szCs w:val="26"/>
        </w:rPr>
        <w:t xml:space="preserve">малообеспеченных семьях, дети с ограниченными возможностями здоровья, дети-сироты, </w:t>
      </w:r>
      <w:r>
        <w:rPr>
          <w:rFonts w:ascii="Times New Roman" w:eastAsia="Times New Roman" w:hAnsi="Times New Roman" w:cs="Times New Roman"/>
          <w:bCs/>
          <w:color w:val="000000"/>
          <w:sz w:val="26"/>
          <w:szCs w:val="26"/>
        </w:rPr>
        <w:t xml:space="preserve">дети, </w:t>
      </w:r>
      <w:r>
        <w:rPr>
          <w:rFonts w:ascii="Times New Roman" w:eastAsia="Times New Roman" w:hAnsi="Times New Roman" w:cs="Times New Roman"/>
          <w:color w:val="000000"/>
          <w:sz w:val="26"/>
          <w:szCs w:val="26"/>
        </w:rPr>
        <w:t xml:space="preserve">оставшиеся без попечения родителей, дети из семей, находящихся в </w:t>
      </w:r>
      <w:r>
        <w:rPr>
          <w:rFonts w:ascii="Times New Roman" w:eastAsia="Times New Roman" w:hAnsi="Times New Roman" w:cs="Times New Roman"/>
          <w:bCs/>
          <w:color w:val="000000"/>
          <w:sz w:val="26"/>
          <w:szCs w:val="26"/>
        </w:rPr>
        <w:t xml:space="preserve">социально </w:t>
      </w:r>
      <w:r>
        <w:rPr>
          <w:rFonts w:ascii="Times New Roman" w:eastAsia="Times New Roman" w:hAnsi="Times New Roman" w:cs="Times New Roman"/>
          <w:color w:val="000000"/>
          <w:sz w:val="26"/>
          <w:szCs w:val="26"/>
        </w:rPr>
        <w:t>опасном положении.</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Вопросы организации и качества школьного </w:t>
      </w:r>
      <w:r>
        <w:rPr>
          <w:rFonts w:ascii="Times New Roman" w:eastAsia="Times New Roman" w:hAnsi="Times New Roman" w:cs="Times New Roman"/>
          <w:bCs/>
          <w:color w:val="000000"/>
          <w:sz w:val="26"/>
          <w:szCs w:val="26"/>
        </w:rPr>
        <w:t xml:space="preserve">питания </w:t>
      </w:r>
      <w:r>
        <w:rPr>
          <w:rFonts w:ascii="Times New Roman" w:eastAsia="Times New Roman" w:hAnsi="Times New Roman" w:cs="Times New Roman"/>
          <w:color w:val="000000"/>
          <w:sz w:val="26"/>
          <w:szCs w:val="26"/>
        </w:rPr>
        <w:t xml:space="preserve">находятся под постоянным контролем органов </w:t>
      </w:r>
      <w:r>
        <w:rPr>
          <w:rFonts w:ascii="Times New Roman" w:eastAsia="Times New Roman" w:hAnsi="Times New Roman" w:cs="Times New Roman"/>
          <w:bCs/>
          <w:color w:val="000000"/>
          <w:sz w:val="26"/>
          <w:szCs w:val="26"/>
        </w:rPr>
        <w:t xml:space="preserve">государственной </w:t>
      </w:r>
      <w:r>
        <w:rPr>
          <w:rFonts w:ascii="Times New Roman" w:eastAsia="Times New Roman" w:hAnsi="Times New Roman" w:cs="Times New Roman"/>
          <w:color w:val="000000"/>
          <w:sz w:val="26"/>
          <w:szCs w:val="26"/>
        </w:rPr>
        <w:t xml:space="preserve">власти Калужской </w:t>
      </w:r>
      <w:r>
        <w:rPr>
          <w:rFonts w:ascii="Times New Roman" w:eastAsia="Times New Roman" w:hAnsi="Times New Roman" w:cs="Times New Roman"/>
          <w:bCs/>
          <w:color w:val="000000"/>
          <w:sz w:val="26"/>
          <w:szCs w:val="26"/>
        </w:rPr>
        <w:t xml:space="preserve">области, </w:t>
      </w:r>
      <w:r>
        <w:rPr>
          <w:rFonts w:ascii="Times New Roman" w:eastAsia="Times New Roman" w:hAnsi="Times New Roman" w:cs="Times New Roman"/>
          <w:color w:val="000000"/>
          <w:sz w:val="26"/>
          <w:szCs w:val="26"/>
        </w:rPr>
        <w:t xml:space="preserve">органов местного самоуправления и рассматриваются </w:t>
      </w:r>
      <w:r>
        <w:rPr>
          <w:rFonts w:ascii="Times New Roman" w:eastAsia="Times New Roman" w:hAnsi="Times New Roman" w:cs="Times New Roman"/>
          <w:bCs/>
          <w:color w:val="000000"/>
          <w:sz w:val="26"/>
          <w:szCs w:val="26"/>
        </w:rPr>
        <w:t xml:space="preserve">на </w:t>
      </w:r>
      <w:r>
        <w:rPr>
          <w:rFonts w:ascii="Times New Roman" w:eastAsia="Times New Roman" w:hAnsi="Times New Roman" w:cs="Times New Roman"/>
          <w:color w:val="000000"/>
          <w:sz w:val="26"/>
          <w:szCs w:val="26"/>
        </w:rPr>
        <w:t xml:space="preserve">заседаниях Правительства Калужской области, </w:t>
      </w:r>
      <w:r>
        <w:rPr>
          <w:rFonts w:ascii="Times New Roman" w:eastAsia="Times New Roman" w:hAnsi="Times New Roman" w:cs="Times New Roman"/>
          <w:bCs/>
          <w:color w:val="000000"/>
          <w:sz w:val="26"/>
          <w:szCs w:val="26"/>
        </w:rPr>
        <w:t xml:space="preserve">на </w:t>
      </w:r>
      <w:r>
        <w:rPr>
          <w:rFonts w:ascii="Times New Roman" w:eastAsia="Times New Roman" w:hAnsi="Times New Roman" w:cs="Times New Roman"/>
          <w:color w:val="000000"/>
          <w:sz w:val="26"/>
          <w:szCs w:val="26"/>
        </w:rPr>
        <w:t xml:space="preserve">сессиях Законодательного Собрания Калужской области, на заседаниях Общественной палаты Калужской области и советов администраций муниципальных образований. В 2018-2019 учебном году межведомственной рабочей группой </w:t>
      </w:r>
      <w:r>
        <w:rPr>
          <w:rFonts w:ascii="Times New Roman" w:eastAsia="Times New Roman" w:hAnsi="Times New Roman" w:cs="Times New Roman"/>
          <w:bCs/>
          <w:color w:val="000000"/>
          <w:sz w:val="26"/>
          <w:szCs w:val="26"/>
        </w:rPr>
        <w:t xml:space="preserve">Законодательного </w:t>
      </w:r>
      <w:r>
        <w:rPr>
          <w:rFonts w:ascii="Times New Roman" w:eastAsia="Times New Roman" w:hAnsi="Times New Roman" w:cs="Times New Roman"/>
          <w:color w:val="000000"/>
          <w:sz w:val="26"/>
          <w:szCs w:val="26"/>
        </w:rPr>
        <w:t xml:space="preserve">Собрания Калужской области совместно с представителями аппарата Уполномоченного организованы </w:t>
      </w:r>
      <w:r>
        <w:rPr>
          <w:rFonts w:ascii="Times New Roman" w:eastAsia="Times New Roman" w:hAnsi="Times New Roman" w:cs="Times New Roman"/>
          <w:bCs/>
          <w:color w:val="000000"/>
          <w:sz w:val="26"/>
          <w:szCs w:val="26"/>
        </w:rPr>
        <w:t xml:space="preserve">выезды </w:t>
      </w:r>
      <w:r>
        <w:rPr>
          <w:rFonts w:ascii="Times New Roman" w:eastAsia="Times New Roman" w:hAnsi="Times New Roman" w:cs="Times New Roman"/>
          <w:color w:val="000000"/>
          <w:sz w:val="26"/>
          <w:szCs w:val="26"/>
        </w:rPr>
        <w:t xml:space="preserve">в муниципальные </w:t>
      </w:r>
      <w:r>
        <w:rPr>
          <w:rFonts w:ascii="Times New Roman" w:eastAsia="Times New Roman" w:hAnsi="Times New Roman" w:cs="Times New Roman"/>
          <w:bCs/>
          <w:color w:val="000000"/>
          <w:sz w:val="26"/>
          <w:szCs w:val="26"/>
        </w:rPr>
        <w:t xml:space="preserve">общеобразовательные </w:t>
      </w:r>
      <w:r>
        <w:rPr>
          <w:rFonts w:ascii="Times New Roman" w:eastAsia="Times New Roman" w:hAnsi="Times New Roman" w:cs="Times New Roman"/>
          <w:color w:val="000000"/>
          <w:sz w:val="26"/>
          <w:szCs w:val="26"/>
        </w:rPr>
        <w:t xml:space="preserve">организации с целью ознакомления с деятельностью общеобразовательных </w:t>
      </w:r>
      <w:r>
        <w:rPr>
          <w:rFonts w:ascii="Times New Roman" w:eastAsia="Times New Roman" w:hAnsi="Times New Roman" w:cs="Times New Roman"/>
          <w:bCs/>
          <w:color w:val="000000"/>
          <w:sz w:val="26"/>
          <w:szCs w:val="26"/>
        </w:rPr>
        <w:t xml:space="preserve">организаций по </w:t>
      </w:r>
      <w:r>
        <w:rPr>
          <w:rFonts w:ascii="Times New Roman" w:eastAsia="Times New Roman" w:hAnsi="Times New Roman" w:cs="Times New Roman"/>
          <w:color w:val="000000"/>
          <w:sz w:val="26"/>
          <w:szCs w:val="26"/>
        </w:rPr>
        <w:t xml:space="preserve">организации школьного питания. </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проведен</w:t>
      </w:r>
      <w:r>
        <w:rPr>
          <w:rFonts w:ascii="Times New Roman" w:eastAsia="Times New Roman" w:hAnsi="Times New Roman" w:cs="Times New Roman"/>
          <w:sz w:val="26"/>
          <w:szCs w:val="26"/>
          <w:lang w:eastAsia="ru-RU"/>
        </w:rPr>
        <w:t>ного Уполномоченным мониторинга</w:t>
      </w:r>
      <w:r>
        <w:rPr>
          <w:rFonts w:ascii="Times New Roman" w:eastAsia="Times New Roman" w:hAnsi="Times New Roman" w:cs="Calibri"/>
          <w:b/>
          <w:bCs/>
          <w:sz w:val="26"/>
          <w:szCs w:val="26"/>
          <w:lang w:eastAsia="ar-SA"/>
        </w:rPr>
        <w:t xml:space="preserve"> </w:t>
      </w:r>
      <w:r>
        <w:rPr>
          <w:rFonts w:ascii="Times New Roman" w:eastAsia="Times New Roman" w:hAnsi="Times New Roman" w:cs="Times New Roman"/>
          <w:color w:val="000000"/>
          <w:sz w:val="26"/>
          <w:szCs w:val="26"/>
        </w:rPr>
        <w:t>обеспечения доступности и качества питания в образовательных организациях Калужской области был изучен порядок организации и предоставления питания обучающимся в общеобразовательных учреждениях, образовательных учреждениях для детей дошкольного и младшего школьного возраста на территории Калужской области, а именно нормативно-правовое регулирование, охват обучающихся горячим питания, изучение качества готовой пищи, проверка соблюдения нормы выхода блюд, культура питания.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Особенное внимание уделялось изучению вопросов осуществления родительского контроля, организации мероприятий по формированию культуры питания.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Муниципальными органами управления образованием традиционно проводятся следующие меропр</w:t>
      </w:r>
      <w:r>
        <w:rPr>
          <w:rFonts w:ascii="Times New Roman" w:eastAsia="Times New Roman" w:hAnsi="Times New Roman" w:cs="Times New Roman"/>
          <w:bCs/>
          <w:color w:val="000000"/>
          <w:sz w:val="26"/>
          <w:szCs w:val="26"/>
        </w:rPr>
        <w:t>иятия</w:t>
      </w:r>
      <w:r>
        <w:rPr>
          <w:rFonts w:ascii="Times New Roman" w:eastAsia="Times New Roman" w:hAnsi="Times New Roman" w:cs="Times New Roman"/>
          <w:color w:val="000000"/>
          <w:sz w:val="26"/>
          <w:szCs w:val="26"/>
        </w:rPr>
        <w:t>:</w:t>
      </w:r>
    </w:p>
    <w:p>
      <w:p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мониторинг состояния материально-технической базы школьных столовых (комиссионная проверка школьных пищеблоков и столовых на соответствие требованиям </w:t>
      </w:r>
      <w:r>
        <w:rPr>
          <w:rFonts w:ascii="Times New Roman" w:eastAsia="Times New Roman" w:hAnsi="Times New Roman" w:cs="Times New Roman"/>
          <w:bCs/>
          <w:color w:val="000000"/>
          <w:sz w:val="26"/>
          <w:szCs w:val="26"/>
        </w:rPr>
        <w:t>СанПин);</w:t>
      </w:r>
    </w:p>
    <w:p>
      <w:pPr>
        <w:numPr>
          <w:ilvl w:val="0"/>
          <w:numId w:val="5"/>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мониторинг охвата обучающихся горячим </w:t>
      </w:r>
      <w:r>
        <w:rPr>
          <w:rFonts w:ascii="Times New Roman" w:eastAsia="Times New Roman" w:hAnsi="Times New Roman" w:cs="Times New Roman"/>
          <w:bCs/>
          <w:color w:val="000000"/>
          <w:sz w:val="26"/>
          <w:szCs w:val="26"/>
        </w:rPr>
        <w:t>питанием;</w:t>
      </w:r>
    </w:p>
    <w:p>
      <w:pPr>
        <w:numPr>
          <w:ilvl w:val="0"/>
          <w:numId w:val="5"/>
        </w:numPr>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мониторинг качества школьного питания.</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Обучающиеся </w:t>
      </w:r>
      <w:r>
        <w:rPr>
          <w:rFonts w:ascii="Times New Roman" w:eastAsia="Times New Roman" w:hAnsi="Times New Roman" w:cs="Times New Roman"/>
          <w:bCs/>
          <w:color w:val="000000"/>
          <w:sz w:val="26"/>
          <w:szCs w:val="26"/>
        </w:rPr>
        <w:t xml:space="preserve">профессиональных </w:t>
      </w:r>
      <w:r>
        <w:rPr>
          <w:rFonts w:ascii="Times New Roman" w:eastAsia="Times New Roman" w:hAnsi="Times New Roman" w:cs="Times New Roman"/>
          <w:color w:val="000000"/>
          <w:sz w:val="26"/>
          <w:szCs w:val="26"/>
        </w:rPr>
        <w:t xml:space="preserve">образовательных организаций </w:t>
      </w:r>
      <w:r>
        <w:rPr>
          <w:rFonts w:ascii="Times New Roman" w:eastAsia="Times New Roman" w:hAnsi="Times New Roman" w:cs="Times New Roman"/>
          <w:bCs/>
          <w:color w:val="000000"/>
          <w:sz w:val="26"/>
          <w:szCs w:val="26"/>
        </w:rPr>
        <w:t xml:space="preserve">(далее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Cs/>
          <w:color w:val="000000"/>
          <w:sz w:val="26"/>
          <w:szCs w:val="26"/>
        </w:rPr>
        <w:t xml:space="preserve">ПОО) </w:t>
      </w:r>
      <w:r>
        <w:rPr>
          <w:rFonts w:ascii="Times New Roman" w:eastAsia="Times New Roman" w:hAnsi="Times New Roman" w:cs="Times New Roman"/>
          <w:color w:val="000000"/>
          <w:sz w:val="26"/>
          <w:szCs w:val="26"/>
        </w:rPr>
        <w:t xml:space="preserve">Калужской области обеспечиваются питанием в соответствии с постановлением Правительства Калужской области от 30.04.2015 № 249 «Об утверждении Положения о случаях </w:t>
      </w:r>
      <w:r>
        <w:rPr>
          <w:rFonts w:ascii="Times New Roman" w:eastAsia="Times New Roman" w:hAnsi="Times New Roman" w:cs="Times New Roman"/>
          <w:bCs/>
          <w:color w:val="000000"/>
          <w:sz w:val="26"/>
          <w:szCs w:val="26"/>
        </w:rPr>
        <w:t xml:space="preserve">и </w:t>
      </w:r>
      <w:r>
        <w:rPr>
          <w:rFonts w:ascii="Times New Roman" w:eastAsia="Times New Roman" w:hAnsi="Times New Roman" w:cs="Times New Roman"/>
          <w:color w:val="000000"/>
          <w:sz w:val="26"/>
          <w:szCs w:val="26"/>
        </w:rPr>
        <w:t xml:space="preserve">порядке обеспечения питанием обучающихся за счет бюджетных ассигнований областного бюджета». Данным постановлением установлено, что питанием </w:t>
      </w:r>
      <w:r>
        <w:rPr>
          <w:rFonts w:ascii="Times New Roman" w:eastAsia="Times New Roman" w:hAnsi="Times New Roman" w:cs="Times New Roman"/>
          <w:bCs/>
          <w:color w:val="000000"/>
          <w:sz w:val="26"/>
          <w:szCs w:val="26"/>
        </w:rPr>
        <w:t xml:space="preserve">за </w:t>
      </w:r>
      <w:r>
        <w:rPr>
          <w:rFonts w:ascii="Times New Roman" w:eastAsia="Times New Roman" w:hAnsi="Times New Roman" w:cs="Times New Roman"/>
          <w:color w:val="000000"/>
          <w:sz w:val="26"/>
          <w:szCs w:val="26"/>
        </w:rPr>
        <w:t xml:space="preserve">счет бюджетных ассигнований </w:t>
      </w:r>
      <w:r>
        <w:rPr>
          <w:rFonts w:ascii="Times New Roman" w:eastAsia="Times New Roman" w:hAnsi="Times New Roman" w:cs="Times New Roman"/>
          <w:bCs/>
          <w:color w:val="000000"/>
          <w:sz w:val="26"/>
          <w:szCs w:val="26"/>
        </w:rPr>
        <w:t xml:space="preserve">областного </w:t>
      </w:r>
      <w:r>
        <w:rPr>
          <w:rFonts w:ascii="Times New Roman" w:eastAsia="Times New Roman" w:hAnsi="Times New Roman" w:cs="Times New Roman"/>
          <w:color w:val="000000"/>
          <w:sz w:val="26"/>
          <w:szCs w:val="26"/>
        </w:rPr>
        <w:t xml:space="preserve">бюджета </w:t>
      </w:r>
      <w:r>
        <w:rPr>
          <w:rFonts w:ascii="Times New Roman" w:eastAsia="Times New Roman" w:hAnsi="Times New Roman" w:cs="Times New Roman"/>
          <w:bCs/>
          <w:color w:val="000000"/>
          <w:sz w:val="26"/>
          <w:szCs w:val="26"/>
        </w:rPr>
        <w:t xml:space="preserve">обеспечиваются </w:t>
      </w:r>
      <w:r>
        <w:rPr>
          <w:rFonts w:ascii="Times New Roman" w:eastAsia="Times New Roman" w:hAnsi="Times New Roman" w:cs="Times New Roman"/>
          <w:color w:val="000000"/>
          <w:sz w:val="26"/>
          <w:szCs w:val="26"/>
        </w:rPr>
        <w:t xml:space="preserve">обучающиеся </w:t>
      </w:r>
      <w:r>
        <w:rPr>
          <w:rFonts w:ascii="Times New Roman" w:eastAsia="Times New Roman" w:hAnsi="Times New Roman" w:cs="Times New Roman"/>
          <w:bCs/>
          <w:color w:val="000000"/>
          <w:sz w:val="26"/>
          <w:szCs w:val="26"/>
        </w:rPr>
        <w:t xml:space="preserve">по очной </w:t>
      </w:r>
      <w:r>
        <w:rPr>
          <w:rFonts w:ascii="Times New Roman" w:eastAsia="Times New Roman" w:hAnsi="Times New Roman" w:cs="Times New Roman"/>
          <w:color w:val="000000"/>
          <w:sz w:val="26"/>
          <w:szCs w:val="26"/>
        </w:rPr>
        <w:t xml:space="preserve">форме обучения в ПОО, находящихся в ведении </w:t>
      </w:r>
      <w:r>
        <w:rPr>
          <w:rFonts w:ascii="Times New Roman" w:eastAsia="Times New Roman" w:hAnsi="Times New Roman" w:cs="Times New Roman"/>
          <w:bCs/>
          <w:color w:val="000000"/>
          <w:sz w:val="26"/>
          <w:szCs w:val="26"/>
        </w:rPr>
        <w:t xml:space="preserve">органов </w:t>
      </w:r>
      <w:r>
        <w:rPr>
          <w:rFonts w:ascii="Times New Roman" w:eastAsia="Times New Roman" w:hAnsi="Times New Roman" w:cs="Times New Roman"/>
          <w:color w:val="000000"/>
          <w:sz w:val="26"/>
          <w:szCs w:val="26"/>
        </w:rPr>
        <w:t>исполнительной власти Калужской области, относящиеся к следующим категориям:</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обучающиеся, зачисленные приказом ПОО на обучение по </w:t>
      </w:r>
      <w:r>
        <w:rPr>
          <w:rFonts w:ascii="Times New Roman" w:eastAsia="Times New Roman" w:hAnsi="Times New Roman" w:cs="Times New Roman"/>
          <w:bCs/>
          <w:color w:val="000000"/>
          <w:sz w:val="26"/>
          <w:szCs w:val="26"/>
        </w:rPr>
        <w:t xml:space="preserve">основным </w:t>
      </w:r>
      <w:r>
        <w:rPr>
          <w:rFonts w:ascii="Times New Roman" w:eastAsia="Times New Roman" w:hAnsi="Times New Roman" w:cs="Times New Roman"/>
          <w:color w:val="000000"/>
          <w:sz w:val="26"/>
          <w:szCs w:val="26"/>
        </w:rPr>
        <w:t xml:space="preserve">профессиональным образовательным программам, а также обучающиеся, зачисленные приказом ПОО на обучение по программам </w:t>
      </w:r>
      <w:r>
        <w:rPr>
          <w:rFonts w:ascii="Times New Roman" w:eastAsia="Times New Roman" w:hAnsi="Times New Roman" w:cs="Times New Roman"/>
          <w:bCs/>
          <w:color w:val="000000"/>
          <w:sz w:val="26"/>
          <w:szCs w:val="26"/>
        </w:rPr>
        <w:t xml:space="preserve">профессиональной </w:t>
      </w:r>
      <w:r>
        <w:rPr>
          <w:rFonts w:ascii="Times New Roman" w:eastAsia="Times New Roman" w:hAnsi="Times New Roman" w:cs="Times New Roman"/>
          <w:color w:val="000000"/>
          <w:sz w:val="26"/>
          <w:szCs w:val="26"/>
        </w:rPr>
        <w:t>подготовки после окончания 9 классов, не прошедшие итоговой аттестации или получившие на итоговой аттестации неудовлетворительные результаты, которым выдана справка;</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ab/>
        <w:t xml:space="preserve">обучающиеся, зачисленные </w:t>
      </w:r>
      <w:r>
        <w:rPr>
          <w:rFonts w:ascii="Times New Roman" w:eastAsia="Times New Roman" w:hAnsi="Times New Roman" w:cs="Times New Roman"/>
          <w:bCs/>
          <w:color w:val="000000"/>
          <w:sz w:val="26"/>
          <w:szCs w:val="26"/>
        </w:rPr>
        <w:t xml:space="preserve">приказом </w:t>
      </w:r>
      <w:r>
        <w:rPr>
          <w:rFonts w:ascii="Times New Roman" w:eastAsia="Times New Roman" w:hAnsi="Times New Roman" w:cs="Times New Roman"/>
          <w:color w:val="000000"/>
          <w:sz w:val="26"/>
          <w:szCs w:val="26"/>
        </w:rPr>
        <w:t xml:space="preserve">профессиональной образовательной организации на обучение по основным профессиональным образовательным программам среднего профессионального образования с одновременным обучением по дополнительным общеразвивающим </w:t>
      </w:r>
      <w:r>
        <w:rPr>
          <w:rFonts w:ascii="Times New Roman" w:eastAsia="Times New Roman" w:hAnsi="Times New Roman" w:cs="Times New Roman"/>
          <w:bCs/>
          <w:color w:val="000000"/>
          <w:sz w:val="26"/>
          <w:szCs w:val="26"/>
        </w:rPr>
        <w:t>программам;</w:t>
      </w:r>
    </w:p>
    <w:p>
      <w:pPr>
        <w:tabs>
          <w:tab w:val="left" w:pos="993"/>
        </w:tabs>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ab/>
        <w:t>обучающиеся с ограниченными возможностями здоровья, не проживающие в ПОО, зачисленные приказом ПОО на обучение по основным профессиональным образовательным программам или программам профессиональной подготовки.</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Право обучающегося на питание за счет бюджетных ассигнований областного бюджета наступает с первого учебного дня и прекращается со дня издания приказа ПОО о его отчислении. Прекращение обеспечения питанием за счет бюджетных </w:t>
      </w:r>
      <w:r>
        <w:rPr>
          <w:rFonts w:ascii="Times New Roman" w:eastAsia="Times New Roman" w:hAnsi="Times New Roman" w:cs="Times New Roman"/>
          <w:bCs/>
          <w:color w:val="000000"/>
          <w:sz w:val="26"/>
          <w:szCs w:val="26"/>
        </w:rPr>
        <w:t xml:space="preserve">ассигнований </w:t>
      </w:r>
      <w:r>
        <w:rPr>
          <w:rFonts w:ascii="Times New Roman" w:eastAsia="Times New Roman" w:hAnsi="Times New Roman" w:cs="Times New Roman"/>
          <w:color w:val="000000"/>
          <w:sz w:val="26"/>
          <w:szCs w:val="26"/>
        </w:rPr>
        <w:t xml:space="preserve">областного бюджета </w:t>
      </w:r>
      <w:r>
        <w:rPr>
          <w:rFonts w:ascii="Times New Roman" w:eastAsia="Times New Roman" w:hAnsi="Times New Roman" w:cs="Times New Roman"/>
          <w:bCs/>
          <w:color w:val="000000"/>
          <w:sz w:val="26"/>
          <w:szCs w:val="26"/>
        </w:rPr>
        <w:t xml:space="preserve">оформляется </w:t>
      </w:r>
      <w:r>
        <w:rPr>
          <w:rFonts w:ascii="Times New Roman" w:eastAsia="Times New Roman" w:hAnsi="Times New Roman" w:cs="Times New Roman"/>
          <w:color w:val="000000"/>
          <w:sz w:val="26"/>
          <w:szCs w:val="26"/>
        </w:rPr>
        <w:t>приказом ПОО.</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Обучающиеся обеспечиваются ежедневным (за исключением </w:t>
      </w:r>
      <w:r>
        <w:rPr>
          <w:rFonts w:ascii="Times New Roman" w:eastAsia="Times New Roman" w:hAnsi="Times New Roman" w:cs="Times New Roman"/>
          <w:bCs/>
          <w:color w:val="000000"/>
          <w:sz w:val="26"/>
          <w:szCs w:val="26"/>
        </w:rPr>
        <w:t xml:space="preserve">выходных, </w:t>
      </w:r>
      <w:r>
        <w:rPr>
          <w:rFonts w:ascii="Times New Roman" w:eastAsia="Times New Roman" w:hAnsi="Times New Roman" w:cs="Times New Roman"/>
          <w:color w:val="000000"/>
          <w:sz w:val="26"/>
          <w:szCs w:val="26"/>
        </w:rPr>
        <w:t>праздничных и каникулярных дней, сессии, нахождения в академическом отпуске) бесплатным питанием в дни посещения учебных занятий, включая теоретическое обучение, учебную и производственную практику.</w:t>
      </w:r>
    </w:p>
    <w:p>
      <w:pPr>
        <w:spacing w:after="0" w:line="360" w:lineRule="auto"/>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Для организации питания обучающихся ПОО привлекают на конкурсной </w:t>
      </w:r>
      <w:r>
        <w:rPr>
          <w:rFonts w:ascii="Times New Roman" w:eastAsia="Times New Roman" w:hAnsi="Times New Roman" w:cs="Times New Roman"/>
          <w:bCs/>
          <w:color w:val="000000"/>
          <w:sz w:val="26"/>
          <w:szCs w:val="26"/>
        </w:rPr>
        <w:t xml:space="preserve">основе </w:t>
      </w:r>
      <w:r>
        <w:rPr>
          <w:rFonts w:ascii="Times New Roman" w:eastAsia="Times New Roman" w:hAnsi="Times New Roman" w:cs="Times New Roman"/>
          <w:color w:val="000000"/>
          <w:sz w:val="26"/>
          <w:szCs w:val="26"/>
        </w:rPr>
        <w:t>сторонние организации с предоставлением им помещений для реализации данной услуги либо организовывают данный процесс самостоятельно.</w:t>
      </w:r>
    </w:p>
    <w:p>
      <w:pPr>
        <w:spacing w:line="36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pStyle w:val="ab"/>
        <w:spacing w:line="240" w:lineRule="auto"/>
        <w:contextualSpacing/>
        <w:rPr>
          <w:rFonts w:ascii="Times New Roman" w:hAnsi="Times New Roman"/>
          <w:b/>
          <w:sz w:val="26"/>
          <w:szCs w:val="26"/>
        </w:rPr>
      </w:pPr>
      <w:r>
        <w:rPr>
          <w:rFonts w:ascii="Times New Roman" w:hAnsi="Times New Roman"/>
          <w:b/>
          <w:sz w:val="26"/>
          <w:szCs w:val="26"/>
        </w:rPr>
        <w:t>2.5. ПРАВО РЕБЕНКА НА МЕДИЦИНСКОЕ ОБСЛУЖИВАНИЕ.</w:t>
      </w:r>
    </w:p>
    <w:p>
      <w:pPr>
        <w:tabs>
          <w:tab w:val="left" w:pos="720"/>
        </w:tabs>
        <w:spacing w:after="0" w:line="240" w:lineRule="auto"/>
        <w:ind w:firstLine="426"/>
        <w:contextualSpacing/>
        <w:jc w:val="center"/>
        <w:rPr>
          <w:rFonts w:ascii="Times New Roman" w:hAnsi="Times New Roman"/>
          <w:b/>
          <w:sz w:val="26"/>
          <w:szCs w:val="26"/>
        </w:rPr>
      </w:pPr>
    </w:p>
    <w:p>
      <w:pPr>
        <w:pStyle w:val="a3"/>
        <w:spacing w:before="0" w:beforeAutospacing="0" w:after="0" w:afterAutospacing="0" w:line="360" w:lineRule="auto"/>
        <w:ind w:right="-1" w:firstLine="708"/>
        <w:contextualSpacing/>
        <w:jc w:val="both"/>
        <w:rPr>
          <w:sz w:val="26"/>
          <w:szCs w:val="26"/>
        </w:rPr>
      </w:pPr>
      <w:r>
        <w:rPr>
          <w:sz w:val="26"/>
          <w:szCs w:val="26"/>
        </w:rPr>
        <w:t xml:space="preserve">В Калужской области охрана здоровья детей и соблюдение их прав в данной сфере выполняется в соответствии со ст. 41 Конституции Российской Федерации гарантирует каждому гражданину право на охрану здоровья и медицинскую помощь. Статьей 7 Федерального закона от 21.11.2011 №323-ФЗ «Об основах охраны здоровья граждан в Российской Федерации» установлен приоритет охраны здоровья детей. </w:t>
      </w:r>
    </w:p>
    <w:p>
      <w:pPr>
        <w:pStyle w:val="a3"/>
        <w:spacing w:before="0" w:beforeAutospacing="0" w:after="0" w:afterAutospacing="0" w:line="360" w:lineRule="auto"/>
        <w:ind w:right="-1" w:firstLine="708"/>
        <w:contextualSpacing/>
        <w:jc w:val="both"/>
        <w:rPr>
          <w:sz w:val="26"/>
          <w:szCs w:val="26"/>
        </w:rPr>
      </w:pPr>
      <w:r>
        <w:rPr>
          <w:sz w:val="26"/>
          <w:szCs w:val="26"/>
        </w:rPr>
        <w:t xml:space="preserve">В Калужской области стартовали мероприятия по реализации Десятилетия детства. Одним их важнейших и приоритетных направлений Плана является качественное улучшение состояния здоровья детей. </w:t>
      </w:r>
    </w:p>
    <w:p>
      <w:pPr>
        <w:pStyle w:val="a3"/>
        <w:spacing w:before="0" w:beforeAutospacing="0" w:after="0" w:afterAutospacing="0" w:line="360" w:lineRule="auto"/>
        <w:ind w:right="-1" w:firstLine="708"/>
        <w:contextualSpacing/>
        <w:jc w:val="both"/>
        <w:rPr>
          <w:color w:val="FF0000"/>
          <w:sz w:val="26"/>
          <w:szCs w:val="26"/>
        </w:rPr>
      </w:pPr>
      <w:r>
        <w:rPr>
          <w:sz w:val="26"/>
          <w:szCs w:val="26"/>
        </w:rPr>
        <w:t>К сожалению демографическая ситуация в Калужской области характеризуется сокращением численности населения, происходит это главным образом за счёт снижения рождаемости. С появлением  перинатального центра, была сформирована трёхуровневая система оказания акушерско-гинекологической помощи, регламентирована маршрутизация беременных и новорожденных, а также проводится своевременное применение современных методик в гинекологии, акушерстве, и неонатологии, репродуктивных технологий при выявлении и лечения бесплодия. В Калуге действует региональный центр поддержки семьи, материнства и детства «Жизнь». Психологи проводят работу по профилактике абортов, бесплатно консультируют беременных женщин, решивших прервать беременность, а также оказывают помощь беременным женщинам в кризисной ситуации, многодетным семьям.</w:t>
      </w:r>
      <w:r>
        <w:rPr>
          <w:color w:val="FF0000"/>
          <w:sz w:val="26"/>
          <w:szCs w:val="26"/>
        </w:rPr>
        <w:t xml:space="preserve"> </w:t>
      </w:r>
    </w:p>
    <w:p>
      <w:pPr>
        <w:pStyle w:val="a3"/>
        <w:spacing w:before="0" w:beforeAutospacing="0" w:after="0" w:afterAutospacing="0" w:line="360" w:lineRule="auto"/>
        <w:ind w:right="-1" w:firstLine="708"/>
        <w:contextualSpacing/>
        <w:jc w:val="both"/>
        <w:rPr>
          <w:color w:val="FF0000"/>
          <w:sz w:val="26"/>
          <w:szCs w:val="26"/>
        </w:rPr>
      </w:pPr>
      <w:r>
        <w:rPr>
          <w:sz w:val="26"/>
          <w:szCs w:val="26"/>
        </w:rPr>
        <w:t xml:space="preserve">В настоящее время на территории Калужской области проживают 3 273 ребенка-инвалида. Ежегодно, впервые признаются инвалидами более </w:t>
      </w:r>
      <w:r>
        <w:rPr>
          <w:bCs/>
          <w:sz w:val="26"/>
          <w:szCs w:val="26"/>
        </w:rPr>
        <w:t xml:space="preserve">423 </w:t>
      </w:r>
      <w:r>
        <w:rPr>
          <w:sz w:val="26"/>
          <w:szCs w:val="26"/>
        </w:rPr>
        <w:t>детей. К сожалению, все чаще случается, что проблемы со здоровьем у малыша начинаются задолго до рождения, и являются врожденными. Статистика основных причин врожденных пороков приведена в таблице № 6.</w:t>
      </w: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360" w:lineRule="auto"/>
        <w:ind w:right="-1"/>
        <w:contextualSpacing/>
        <w:jc w:val="both"/>
        <w:rPr>
          <w:rFonts w:ascii="Times New Roman" w:hAnsi="Times New Roman"/>
          <w:sz w:val="26"/>
          <w:szCs w:val="26"/>
        </w:rPr>
      </w:pPr>
    </w:p>
    <w:p>
      <w:pPr>
        <w:suppressAutoHyphens/>
        <w:spacing w:after="0" w:line="240" w:lineRule="auto"/>
        <w:ind w:firstLine="426"/>
        <w:contextualSpacing/>
        <w:jc w:val="right"/>
        <w:rPr>
          <w:rFonts w:ascii="Times New Roman" w:hAnsi="Times New Roman"/>
          <w:b/>
          <w:i/>
          <w:sz w:val="26"/>
          <w:szCs w:val="26"/>
        </w:rPr>
      </w:pPr>
      <w:r>
        <w:rPr>
          <w:rFonts w:ascii="Times New Roman" w:hAnsi="Times New Roman"/>
          <w:b/>
          <w:i/>
          <w:sz w:val="26"/>
          <w:szCs w:val="26"/>
        </w:rPr>
        <w:t>Таблица № 6</w:t>
      </w:r>
    </w:p>
    <w:p>
      <w:pPr>
        <w:suppressAutoHyphens/>
        <w:spacing w:after="0" w:line="240" w:lineRule="auto"/>
        <w:ind w:firstLine="426"/>
        <w:contextualSpacing/>
        <w:jc w:val="center"/>
        <w:rPr>
          <w:rFonts w:ascii="Times New Roman" w:hAnsi="Times New Roman"/>
          <w:b/>
          <w:sz w:val="26"/>
          <w:szCs w:val="26"/>
        </w:rPr>
      </w:pPr>
    </w:p>
    <w:p>
      <w:pPr>
        <w:suppressAutoHyphens/>
        <w:spacing w:after="0" w:line="240" w:lineRule="auto"/>
        <w:ind w:firstLine="426"/>
        <w:contextualSpacing/>
        <w:jc w:val="center"/>
        <w:rPr>
          <w:rFonts w:ascii="Times New Roman" w:hAnsi="Times New Roman"/>
          <w:b/>
          <w:sz w:val="26"/>
          <w:szCs w:val="26"/>
        </w:rPr>
      </w:pPr>
      <w:r>
        <w:rPr>
          <w:rFonts w:ascii="Times New Roman" w:hAnsi="Times New Roman"/>
          <w:b/>
          <w:sz w:val="26"/>
          <w:szCs w:val="26"/>
        </w:rPr>
        <w:t xml:space="preserve">Данные статистики основных причин </w:t>
      </w:r>
    </w:p>
    <w:p>
      <w:pPr>
        <w:suppressAutoHyphens/>
        <w:spacing w:after="0" w:line="240" w:lineRule="auto"/>
        <w:ind w:firstLine="426"/>
        <w:contextualSpacing/>
        <w:jc w:val="center"/>
        <w:rPr>
          <w:rFonts w:ascii="Times New Roman" w:hAnsi="Times New Roman"/>
          <w:b/>
          <w:sz w:val="26"/>
          <w:szCs w:val="26"/>
        </w:rPr>
      </w:pPr>
      <w:r>
        <w:rPr>
          <w:rFonts w:ascii="Times New Roman" w:hAnsi="Times New Roman"/>
          <w:b/>
          <w:sz w:val="26"/>
          <w:szCs w:val="26"/>
        </w:rPr>
        <w:t>врожденных пороков</w:t>
      </w:r>
    </w:p>
    <w:p>
      <w:pPr>
        <w:suppressAutoHyphens/>
        <w:spacing w:after="0" w:line="240" w:lineRule="auto"/>
        <w:ind w:firstLine="426"/>
        <w:contextualSpacing/>
        <w:jc w:val="center"/>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71"/>
        <w:gridCol w:w="2815"/>
        <w:gridCol w:w="2956"/>
      </w:tblGrid>
      <w:tr>
        <w:tc>
          <w:tcPr>
            <w:tcW w:w="588" w:type="dxa"/>
            <w:shd w:val="clear" w:color="auto" w:fill="auto"/>
          </w:tcPr>
          <w:p>
            <w:pPr>
              <w:suppressAutoHyphens/>
              <w:spacing w:after="0" w:line="240" w:lineRule="auto"/>
              <w:contextualSpacing/>
              <w:jc w:val="both"/>
              <w:rPr>
                <w:rFonts w:ascii="Times New Roman" w:hAnsi="Times New Roman"/>
                <w:b/>
                <w:sz w:val="26"/>
                <w:szCs w:val="26"/>
              </w:rPr>
            </w:pPr>
            <w:r>
              <w:rPr>
                <w:rFonts w:ascii="Times New Roman" w:hAnsi="Times New Roman"/>
                <w:b/>
                <w:sz w:val="26"/>
                <w:szCs w:val="26"/>
              </w:rPr>
              <w:t>№ п/п</w:t>
            </w:r>
          </w:p>
        </w:tc>
        <w:tc>
          <w:tcPr>
            <w:tcW w:w="3671" w:type="dxa"/>
            <w:shd w:val="clear" w:color="auto" w:fill="auto"/>
          </w:tcPr>
          <w:p>
            <w:pPr>
              <w:suppressAutoHyphens/>
              <w:spacing w:after="0" w:line="240" w:lineRule="auto"/>
              <w:contextualSpacing/>
              <w:jc w:val="both"/>
              <w:rPr>
                <w:rFonts w:ascii="Times New Roman" w:hAnsi="Times New Roman"/>
                <w:b/>
                <w:sz w:val="26"/>
                <w:szCs w:val="26"/>
              </w:rPr>
            </w:pPr>
            <w:r>
              <w:rPr>
                <w:rFonts w:ascii="Times New Roman" w:hAnsi="Times New Roman"/>
                <w:b/>
                <w:sz w:val="26"/>
                <w:szCs w:val="26"/>
              </w:rPr>
              <w:t xml:space="preserve">Причины врожденных пороков </w:t>
            </w:r>
          </w:p>
        </w:tc>
        <w:tc>
          <w:tcPr>
            <w:tcW w:w="2815" w:type="dxa"/>
            <w:shd w:val="clear" w:color="auto" w:fill="auto"/>
          </w:tcPr>
          <w:p>
            <w:pPr>
              <w:suppressAutoHyphens/>
              <w:spacing w:after="0" w:line="240" w:lineRule="auto"/>
              <w:ind w:firstLine="34"/>
              <w:contextualSpacing/>
              <w:jc w:val="center"/>
              <w:rPr>
                <w:rFonts w:ascii="Times New Roman" w:hAnsi="Times New Roman"/>
                <w:b/>
                <w:sz w:val="26"/>
                <w:szCs w:val="26"/>
              </w:rPr>
            </w:pPr>
            <w:r>
              <w:rPr>
                <w:rFonts w:ascii="Times New Roman" w:hAnsi="Times New Roman"/>
                <w:b/>
                <w:sz w:val="26"/>
                <w:szCs w:val="26"/>
              </w:rPr>
              <w:t>2017 год</w:t>
            </w:r>
          </w:p>
          <w:p>
            <w:pPr>
              <w:suppressAutoHyphens/>
              <w:spacing w:after="0" w:line="240" w:lineRule="auto"/>
              <w:ind w:firstLine="34"/>
              <w:contextualSpacing/>
              <w:jc w:val="center"/>
              <w:rPr>
                <w:rFonts w:ascii="Times New Roman" w:hAnsi="Times New Roman"/>
                <w:b/>
                <w:sz w:val="26"/>
                <w:szCs w:val="26"/>
              </w:rPr>
            </w:pPr>
          </w:p>
        </w:tc>
        <w:tc>
          <w:tcPr>
            <w:tcW w:w="2956" w:type="dxa"/>
            <w:shd w:val="clear" w:color="auto" w:fill="auto"/>
          </w:tcPr>
          <w:p>
            <w:pPr>
              <w:suppressAutoHyphens/>
              <w:spacing w:after="0" w:line="240" w:lineRule="auto"/>
              <w:ind w:firstLine="34"/>
              <w:contextualSpacing/>
              <w:jc w:val="center"/>
              <w:rPr>
                <w:rFonts w:ascii="Times New Roman" w:hAnsi="Times New Roman"/>
                <w:b/>
                <w:sz w:val="26"/>
                <w:szCs w:val="26"/>
              </w:rPr>
            </w:pPr>
            <w:r>
              <w:rPr>
                <w:rFonts w:ascii="Times New Roman" w:hAnsi="Times New Roman"/>
                <w:b/>
                <w:sz w:val="26"/>
                <w:szCs w:val="26"/>
              </w:rPr>
              <w:t>2018 год</w:t>
            </w:r>
          </w:p>
          <w:p>
            <w:pPr>
              <w:suppressAutoHyphens/>
              <w:spacing w:after="0" w:line="240" w:lineRule="auto"/>
              <w:ind w:firstLine="34"/>
              <w:contextualSpacing/>
              <w:jc w:val="center"/>
              <w:rPr>
                <w:rFonts w:ascii="Times New Roman" w:hAnsi="Times New Roman"/>
                <w:b/>
                <w:sz w:val="26"/>
                <w:szCs w:val="26"/>
              </w:rPr>
            </w:pPr>
          </w:p>
        </w:tc>
      </w:tr>
      <w:tr>
        <w:trPr>
          <w:trHeight w:val="907"/>
        </w:trPr>
        <w:tc>
          <w:tcPr>
            <w:tcW w:w="588"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1.</w:t>
            </w:r>
          </w:p>
        </w:tc>
        <w:tc>
          <w:tcPr>
            <w:tcW w:w="3671"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 xml:space="preserve">Врожденные аномалии всего </w:t>
            </w:r>
          </w:p>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Из них:</w:t>
            </w:r>
          </w:p>
        </w:tc>
        <w:tc>
          <w:tcPr>
            <w:tcW w:w="2815"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600</w:t>
            </w:r>
          </w:p>
        </w:tc>
        <w:tc>
          <w:tcPr>
            <w:tcW w:w="2956"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639</w:t>
            </w:r>
          </w:p>
        </w:tc>
      </w:tr>
      <w:tr>
        <w:tc>
          <w:tcPr>
            <w:tcW w:w="588"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2.</w:t>
            </w:r>
          </w:p>
        </w:tc>
        <w:tc>
          <w:tcPr>
            <w:tcW w:w="3671" w:type="dxa"/>
            <w:shd w:val="clear" w:color="auto" w:fill="auto"/>
          </w:tcPr>
          <w:p>
            <w:pPr>
              <w:suppressAutoHyphens/>
              <w:spacing w:after="0" w:line="240" w:lineRule="auto"/>
              <w:ind w:firstLine="13"/>
              <w:contextualSpacing/>
              <w:jc w:val="both"/>
              <w:rPr>
                <w:rFonts w:ascii="Times New Roman" w:hAnsi="Times New Roman"/>
                <w:sz w:val="26"/>
                <w:szCs w:val="26"/>
              </w:rPr>
            </w:pPr>
            <w:r>
              <w:rPr>
                <w:rFonts w:ascii="Times New Roman" w:hAnsi="Times New Roman"/>
                <w:sz w:val="26"/>
                <w:szCs w:val="26"/>
              </w:rPr>
              <w:t>Аномалии нервной системы –</w:t>
            </w:r>
          </w:p>
        </w:tc>
        <w:tc>
          <w:tcPr>
            <w:tcW w:w="2815"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53</w:t>
            </w:r>
          </w:p>
        </w:tc>
        <w:tc>
          <w:tcPr>
            <w:tcW w:w="2956"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52</w:t>
            </w:r>
          </w:p>
        </w:tc>
      </w:tr>
      <w:tr>
        <w:tc>
          <w:tcPr>
            <w:tcW w:w="588"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3.</w:t>
            </w:r>
          </w:p>
        </w:tc>
        <w:tc>
          <w:tcPr>
            <w:tcW w:w="3671"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 xml:space="preserve">Аномалии системы кровообращения – </w:t>
            </w:r>
          </w:p>
        </w:tc>
        <w:tc>
          <w:tcPr>
            <w:tcW w:w="2815"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161</w:t>
            </w:r>
          </w:p>
        </w:tc>
        <w:tc>
          <w:tcPr>
            <w:tcW w:w="2956"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169</w:t>
            </w:r>
          </w:p>
        </w:tc>
      </w:tr>
      <w:tr>
        <w:tc>
          <w:tcPr>
            <w:tcW w:w="588"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4.</w:t>
            </w:r>
          </w:p>
        </w:tc>
        <w:tc>
          <w:tcPr>
            <w:tcW w:w="3671" w:type="dxa"/>
            <w:shd w:val="clear" w:color="auto" w:fill="auto"/>
          </w:tcPr>
          <w:p>
            <w:pPr>
              <w:suppressAutoHyphens/>
              <w:spacing w:after="0" w:line="240" w:lineRule="auto"/>
              <w:contextualSpacing/>
              <w:jc w:val="both"/>
              <w:rPr>
                <w:rFonts w:ascii="Times New Roman" w:hAnsi="Times New Roman"/>
                <w:sz w:val="26"/>
                <w:szCs w:val="26"/>
              </w:rPr>
            </w:pPr>
            <w:r>
              <w:rPr>
                <w:rFonts w:ascii="Times New Roman" w:hAnsi="Times New Roman"/>
                <w:sz w:val="26"/>
                <w:szCs w:val="26"/>
              </w:rPr>
              <w:t>Хромосомные нарушения –</w:t>
            </w:r>
          </w:p>
        </w:tc>
        <w:tc>
          <w:tcPr>
            <w:tcW w:w="2815"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102</w:t>
            </w:r>
          </w:p>
        </w:tc>
        <w:tc>
          <w:tcPr>
            <w:tcW w:w="2956" w:type="dxa"/>
            <w:shd w:val="clear" w:color="auto" w:fill="auto"/>
          </w:tcPr>
          <w:p>
            <w:pPr>
              <w:suppressAutoHyphens/>
              <w:spacing w:after="0" w:line="240" w:lineRule="auto"/>
              <w:contextualSpacing/>
              <w:jc w:val="center"/>
              <w:rPr>
                <w:rFonts w:ascii="Times New Roman" w:hAnsi="Times New Roman"/>
                <w:sz w:val="26"/>
                <w:szCs w:val="26"/>
              </w:rPr>
            </w:pPr>
            <w:r>
              <w:rPr>
                <w:rFonts w:ascii="Times New Roman" w:hAnsi="Times New Roman"/>
                <w:sz w:val="26"/>
                <w:szCs w:val="26"/>
              </w:rPr>
              <w:t>111</w:t>
            </w:r>
          </w:p>
        </w:tc>
      </w:tr>
    </w:tbl>
    <w:p>
      <w:pPr>
        <w:spacing w:after="0" w:line="240" w:lineRule="auto"/>
        <w:contextualSpacing/>
        <w:jc w:val="center"/>
        <w:outlineLvl w:val="0"/>
        <w:rPr>
          <w:rFonts w:ascii="Times New Roman" w:eastAsia="Times New Roman" w:hAnsi="Times New Roman"/>
          <w:b/>
          <w:sz w:val="26"/>
          <w:szCs w:val="26"/>
          <w:lang w:eastAsia="ru-RU"/>
        </w:rPr>
      </w:pPr>
    </w:p>
    <w:p>
      <w:pPr>
        <w:spacing w:after="0" w:line="360" w:lineRule="auto"/>
        <w:ind w:firstLine="709"/>
        <w:contextualSpacing/>
        <w:jc w:val="both"/>
        <w:outlineLvl w:val="0"/>
        <w:rPr>
          <w:rFonts w:ascii="Times New Roman" w:eastAsia="Times New Roman" w:hAnsi="Times New Roman"/>
          <w:sz w:val="26"/>
          <w:szCs w:val="26"/>
          <w:lang w:eastAsia="ru-RU"/>
        </w:rPr>
      </w:pPr>
      <w:r>
        <w:rPr>
          <w:rFonts w:ascii="Times New Roman" w:eastAsia="Times New Roman" w:hAnsi="Times New Roman"/>
          <w:sz w:val="26"/>
          <w:szCs w:val="26"/>
          <w:lang w:eastAsia="ru-RU"/>
        </w:rPr>
        <w:t>К сожалению, отмечается рост числа детей получивших инвалидность                (таблица № 7).</w:t>
      </w:r>
    </w:p>
    <w:p>
      <w:pPr>
        <w:spacing w:after="0" w:line="240" w:lineRule="auto"/>
        <w:contextualSpacing/>
        <w:jc w:val="right"/>
        <w:outlineLvl w:val="0"/>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Таблица № 7</w:t>
      </w:r>
    </w:p>
    <w:p>
      <w:pPr>
        <w:spacing w:after="0" w:line="240" w:lineRule="auto"/>
        <w:ind w:firstLine="709"/>
        <w:contextualSpacing/>
        <w:jc w:val="both"/>
        <w:outlineLvl w:val="0"/>
        <w:rPr>
          <w:rFonts w:ascii="Times New Roman" w:eastAsia="Times New Roman" w:hAnsi="Times New Roman"/>
          <w:sz w:val="26"/>
          <w:szCs w:val="26"/>
          <w:lang w:eastAsia="ru-RU"/>
        </w:rPr>
      </w:pPr>
    </w:p>
    <w:p>
      <w:pPr>
        <w:spacing w:after="0" w:line="240" w:lineRule="auto"/>
        <w:contextualSpacing/>
        <w:jc w:val="center"/>
        <w:outlineLvl w:val="0"/>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Структура заболеваемости детей, обусловившей возникновение </w:t>
      </w:r>
    </w:p>
    <w:p>
      <w:pPr>
        <w:spacing w:after="0" w:line="240" w:lineRule="auto"/>
        <w:contextualSpacing/>
        <w:jc w:val="center"/>
        <w:outlineLvl w:val="0"/>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инвалидности (0-17 лет)</w:t>
      </w:r>
    </w:p>
    <w:p>
      <w:pPr>
        <w:spacing w:after="0" w:line="240" w:lineRule="auto"/>
        <w:contextualSpacing/>
        <w:jc w:val="center"/>
        <w:outlineLvl w:val="0"/>
        <w:rPr>
          <w:rFonts w:ascii="Times New Roman" w:eastAsia="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403"/>
        <w:gridCol w:w="2530"/>
        <w:gridCol w:w="2530"/>
      </w:tblGrid>
      <w:tr>
        <w:tc>
          <w:tcPr>
            <w:tcW w:w="675" w:type="dxa"/>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п/п</w:t>
            </w:r>
          </w:p>
        </w:tc>
        <w:tc>
          <w:tcPr>
            <w:tcW w:w="4403" w:type="dxa"/>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Показатели по классам заболеваний</w:t>
            </w:r>
          </w:p>
        </w:tc>
        <w:tc>
          <w:tcPr>
            <w:tcW w:w="2530" w:type="dxa"/>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2017 год </w:t>
            </w:r>
          </w:p>
        </w:tc>
        <w:tc>
          <w:tcPr>
            <w:tcW w:w="2530" w:type="dxa"/>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2018 год</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Всего детей-инвалидов/детей с ОВЗ</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2786/422</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2930/398</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Инфекционные и паразитарные заболевания</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Новообразования</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159</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162</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крови и кроветворных органов</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32</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37</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эндокринной системы</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262</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279</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Психические расстройства</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717</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771</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нервной системы</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497</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521</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глаза</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114</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115</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уха</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187</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199</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органов дыхания</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23</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органов пищеварения</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23</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12.</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мочеполовой системы</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43</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40</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13.</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кожи</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Болезни костно-мышечной системы</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98</w:t>
            </w:r>
          </w:p>
        </w:tc>
      </w:tr>
      <w:tr>
        <w:tc>
          <w:tcPr>
            <w:tcW w:w="675"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15.</w:t>
            </w:r>
          </w:p>
        </w:tc>
        <w:tc>
          <w:tcPr>
            <w:tcW w:w="4403" w:type="dxa"/>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Врожденные аномалии</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564</w:t>
            </w:r>
          </w:p>
        </w:tc>
        <w:tc>
          <w:tcPr>
            <w:tcW w:w="2530"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595</w:t>
            </w:r>
          </w:p>
        </w:tc>
      </w:tr>
    </w:tbl>
    <w:p>
      <w:pPr>
        <w:spacing w:after="0" w:line="240" w:lineRule="auto"/>
        <w:ind w:left="360"/>
        <w:contextualSpacing/>
        <w:jc w:val="center"/>
        <w:rPr>
          <w:rFonts w:ascii="Times New Roman" w:eastAsia="Times New Roman" w:hAnsi="Times New Roman"/>
          <w:b/>
          <w:sz w:val="26"/>
          <w:szCs w:val="26"/>
          <w:lang w:eastAsia="ru-RU"/>
        </w:rPr>
      </w:pP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Также огромную проблему составляет распространение социально значимых заболеваний среди подростков, которые являются наиболее уязвимой группой населения (таблица № 8)</w:t>
      </w: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Данная группа заболеваний, представляет реальную угрозу здоровью всего населения, требует огромных затрат на профилактику, лечение и реабилитацию.</w:t>
      </w:r>
    </w:p>
    <w:p>
      <w:pPr>
        <w:spacing w:after="0" w:line="240" w:lineRule="auto"/>
        <w:ind w:firstLine="709"/>
        <w:contextualSpacing/>
        <w:jc w:val="right"/>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Таблица №8</w:t>
      </w:r>
    </w:p>
    <w:p>
      <w:pPr>
        <w:spacing w:after="0" w:line="360" w:lineRule="auto"/>
        <w:ind w:firstLine="709"/>
        <w:contextualSpacing/>
        <w:jc w:val="both"/>
        <w:rPr>
          <w:rFonts w:ascii="Times New Roman" w:hAnsi="Times New Roman"/>
          <w:sz w:val="26"/>
          <w:szCs w:val="26"/>
        </w:rPr>
      </w:pPr>
    </w:p>
    <w:p>
      <w:pPr>
        <w:spacing w:after="0" w:line="240" w:lineRule="auto"/>
        <w:ind w:left="360"/>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Социально значимые заболевания у детей </w:t>
      </w:r>
    </w:p>
    <w:p>
      <w:pPr>
        <w:spacing w:after="0" w:line="240" w:lineRule="auto"/>
        <w:ind w:left="360"/>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в возрасте от 0 до 17 лет </w:t>
      </w:r>
    </w:p>
    <w:p>
      <w:pPr>
        <w:spacing w:after="0" w:line="240" w:lineRule="auto"/>
        <w:ind w:left="360"/>
        <w:contextualSpacing/>
        <w:jc w:val="center"/>
        <w:rPr>
          <w:rFonts w:ascii="Times New Roman" w:eastAsia="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4659"/>
        <w:gridCol w:w="2411"/>
        <w:gridCol w:w="2412"/>
      </w:tblGrid>
      <w:tr>
        <w:tc>
          <w:tcPr>
            <w:tcW w:w="656" w:type="dxa"/>
          </w:tcPr>
          <w:p>
            <w:pPr>
              <w:spacing w:after="0" w:line="240" w:lineRule="auto"/>
              <w:contextualSpacing/>
              <w:jc w:val="center"/>
              <w:rPr>
                <w:rFonts w:ascii="Times New Roman" w:hAnsi="Times New Roman"/>
                <w:b/>
                <w:sz w:val="26"/>
                <w:szCs w:val="26"/>
              </w:rPr>
            </w:pPr>
            <w:r>
              <w:rPr>
                <w:rFonts w:ascii="Times New Roman" w:hAnsi="Times New Roman"/>
                <w:b/>
                <w:sz w:val="26"/>
                <w:szCs w:val="26"/>
              </w:rPr>
              <w:t>№ п/п</w:t>
            </w:r>
          </w:p>
        </w:tc>
        <w:tc>
          <w:tcPr>
            <w:tcW w:w="4659" w:type="dxa"/>
          </w:tcPr>
          <w:p>
            <w:pPr>
              <w:spacing w:after="0" w:line="240" w:lineRule="auto"/>
              <w:contextualSpacing/>
              <w:jc w:val="center"/>
              <w:rPr>
                <w:rFonts w:ascii="Times New Roman" w:hAnsi="Times New Roman"/>
                <w:b/>
                <w:sz w:val="26"/>
                <w:szCs w:val="26"/>
              </w:rPr>
            </w:pPr>
            <w:r>
              <w:rPr>
                <w:rFonts w:ascii="Times New Roman" w:hAnsi="Times New Roman"/>
                <w:b/>
                <w:sz w:val="26"/>
                <w:szCs w:val="26"/>
              </w:rPr>
              <w:t>Показатели</w:t>
            </w:r>
          </w:p>
        </w:tc>
        <w:tc>
          <w:tcPr>
            <w:tcW w:w="2411" w:type="dxa"/>
          </w:tcPr>
          <w:p>
            <w:pPr>
              <w:spacing w:after="0" w:line="240" w:lineRule="auto"/>
              <w:contextualSpacing/>
              <w:jc w:val="center"/>
              <w:rPr>
                <w:rFonts w:ascii="Times New Roman" w:hAnsi="Times New Roman"/>
                <w:b/>
                <w:sz w:val="26"/>
                <w:szCs w:val="26"/>
              </w:rPr>
            </w:pPr>
            <w:r>
              <w:rPr>
                <w:rFonts w:ascii="Times New Roman" w:hAnsi="Times New Roman"/>
                <w:b/>
                <w:sz w:val="26"/>
                <w:szCs w:val="26"/>
              </w:rPr>
              <w:t>2017 год</w:t>
            </w:r>
          </w:p>
        </w:tc>
        <w:tc>
          <w:tcPr>
            <w:tcW w:w="2412" w:type="dxa"/>
          </w:tcPr>
          <w:p>
            <w:pPr>
              <w:spacing w:after="0" w:line="240" w:lineRule="auto"/>
              <w:contextualSpacing/>
              <w:jc w:val="center"/>
              <w:rPr>
                <w:rFonts w:ascii="Times New Roman" w:hAnsi="Times New Roman"/>
                <w:b/>
                <w:sz w:val="26"/>
                <w:szCs w:val="26"/>
              </w:rPr>
            </w:pPr>
            <w:r>
              <w:rPr>
                <w:rFonts w:ascii="Times New Roman" w:hAnsi="Times New Roman"/>
                <w:b/>
                <w:sz w:val="26"/>
                <w:szCs w:val="26"/>
              </w:rPr>
              <w:t>2018 год</w:t>
            </w:r>
          </w:p>
        </w:tc>
      </w:tr>
      <w:tr>
        <w:tc>
          <w:tcPr>
            <w:tcW w:w="656" w:type="dxa"/>
          </w:tcPr>
          <w:p>
            <w:pPr>
              <w:spacing w:after="0" w:line="240" w:lineRule="auto"/>
              <w:contextualSpacing/>
              <w:rPr>
                <w:rFonts w:ascii="Times New Roman" w:hAnsi="Times New Roman"/>
                <w:sz w:val="26"/>
                <w:szCs w:val="26"/>
              </w:rPr>
            </w:pPr>
            <w:r>
              <w:rPr>
                <w:rFonts w:ascii="Times New Roman" w:hAnsi="Times New Roman"/>
                <w:sz w:val="26"/>
                <w:szCs w:val="26"/>
              </w:rPr>
              <w:t>1</w:t>
            </w:r>
          </w:p>
        </w:tc>
        <w:tc>
          <w:tcPr>
            <w:tcW w:w="4659" w:type="dxa"/>
          </w:tcPr>
          <w:p>
            <w:pPr>
              <w:spacing w:after="0" w:line="240" w:lineRule="auto"/>
              <w:contextualSpacing/>
              <w:rPr>
                <w:rFonts w:ascii="Times New Roman" w:hAnsi="Times New Roman"/>
                <w:sz w:val="26"/>
                <w:szCs w:val="26"/>
              </w:rPr>
            </w:pPr>
            <w:r>
              <w:rPr>
                <w:rFonts w:ascii="Times New Roman" w:hAnsi="Times New Roman"/>
                <w:sz w:val="26"/>
                <w:szCs w:val="26"/>
              </w:rPr>
              <w:t>Туберкулез</w:t>
            </w:r>
          </w:p>
        </w:tc>
        <w:tc>
          <w:tcPr>
            <w:tcW w:w="2411"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28</w:t>
            </w:r>
          </w:p>
        </w:tc>
        <w:tc>
          <w:tcPr>
            <w:tcW w:w="2412"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27</w:t>
            </w:r>
          </w:p>
        </w:tc>
      </w:tr>
      <w:tr>
        <w:tc>
          <w:tcPr>
            <w:tcW w:w="656" w:type="dxa"/>
          </w:tcPr>
          <w:p>
            <w:pPr>
              <w:spacing w:after="0" w:line="240" w:lineRule="auto"/>
              <w:contextualSpacing/>
              <w:rPr>
                <w:rFonts w:ascii="Times New Roman" w:hAnsi="Times New Roman"/>
                <w:sz w:val="26"/>
                <w:szCs w:val="26"/>
              </w:rPr>
            </w:pPr>
            <w:r>
              <w:rPr>
                <w:rFonts w:ascii="Times New Roman" w:hAnsi="Times New Roman"/>
                <w:sz w:val="26"/>
                <w:szCs w:val="26"/>
              </w:rPr>
              <w:t>2</w:t>
            </w:r>
          </w:p>
        </w:tc>
        <w:tc>
          <w:tcPr>
            <w:tcW w:w="4659" w:type="dxa"/>
          </w:tcPr>
          <w:p>
            <w:pPr>
              <w:spacing w:after="0" w:line="240" w:lineRule="auto"/>
              <w:contextualSpacing/>
              <w:rPr>
                <w:rFonts w:ascii="Times New Roman" w:hAnsi="Times New Roman"/>
                <w:sz w:val="26"/>
                <w:szCs w:val="26"/>
              </w:rPr>
            </w:pPr>
            <w:r>
              <w:rPr>
                <w:rFonts w:ascii="Times New Roman" w:hAnsi="Times New Roman"/>
                <w:sz w:val="26"/>
                <w:szCs w:val="26"/>
              </w:rPr>
              <w:t>Сифилис</w:t>
            </w:r>
          </w:p>
        </w:tc>
        <w:tc>
          <w:tcPr>
            <w:tcW w:w="2411"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1</w:t>
            </w:r>
          </w:p>
        </w:tc>
        <w:tc>
          <w:tcPr>
            <w:tcW w:w="2412"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3</w:t>
            </w:r>
          </w:p>
        </w:tc>
      </w:tr>
      <w:tr>
        <w:tc>
          <w:tcPr>
            <w:tcW w:w="656" w:type="dxa"/>
          </w:tcPr>
          <w:p>
            <w:pPr>
              <w:spacing w:after="0" w:line="240" w:lineRule="auto"/>
              <w:contextualSpacing/>
              <w:rPr>
                <w:rFonts w:ascii="Times New Roman" w:hAnsi="Times New Roman"/>
                <w:sz w:val="26"/>
                <w:szCs w:val="26"/>
              </w:rPr>
            </w:pPr>
            <w:r>
              <w:rPr>
                <w:rFonts w:ascii="Times New Roman" w:hAnsi="Times New Roman"/>
                <w:sz w:val="26"/>
                <w:szCs w:val="26"/>
              </w:rPr>
              <w:t>3</w:t>
            </w:r>
          </w:p>
        </w:tc>
        <w:tc>
          <w:tcPr>
            <w:tcW w:w="4659" w:type="dxa"/>
          </w:tcPr>
          <w:p>
            <w:pPr>
              <w:spacing w:after="0" w:line="240" w:lineRule="auto"/>
              <w:contextualSpacing/>
              <w:rPr>
                <w:rFonts w:ascii="Times New Roman" w:hAnsi="Times New Roman"/>
                <w:sz w:val="26"/>
                <w:szCs w:val="26"/>
              </w:rPr>
            </w:pPr>
            <w:r>
              <w:rPr>
                <w:rFonts w:ascii="Times New Roman" w:hAnsi="Times New Roman"/>
                <w:sz w:val="26"/>
                <w:szCs w:val="26"/>
              </w:rPr>
              <w:t>Гонококковая инфекция</w:t>
            </w:r>
          </w:p>
        </w:tc>
        <w:tc>
          <w:tcPr>
            <w:tcW w:w="2411"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57</w:t>
            </w:r>
          </w:p>
        </w:tc>
        <w:tc>
          <w:tcPr>
            <w:tcW w:w="2412"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39</w:t>
            </w:r>
          </w:p>
        </w:tc>
      </w:tr>
      <w:tr>
        <w:tc>
          <w:tcPr>
            <w:tcW w:w="656" w:type="dxa"/>
          </w:tcPr>
          <w:p>
            <w:pPr>
              <w:spacing w:after="0" w:line="240" w:lineRule="auto"/>
              <w:contextualSpacing/>
              <w:rPr>
                <w:rFonts w:ascii="Times New Roman" w:hAnsi="Times New Roman"/>
                <w:sz w:val="26"/>
                <w:szCs w:val="26"/>
              </w:rPr>
            </w:pPr>
            <w:r>
              <w:rPr>
                <w:rFonts w:ascii="Times New Roman" w:hAnsi="Times New Roman"/>
                <w:sz w:val="26"/>
                <w:szCs w:val="26"/>
              </w:rPr>
              <w:t>4</w:t>
            </w:r>
          </w:p>
        </w:tc>
        <w:tc>
          <w:tcPr>
            <w:tcW w:w="4659" w:type="dxa"/>
          </w:tcPr>
          <w:p>
            <w:pPr>
              <w:spacing w:after="0" w:line="240" w:lineRule="auto"/>
              <w:contextualSpacing/>
              <w:rPr>
                <w:rFonts w:ascii="Times New Roman" w:hAnsi="Times New Roman"/>
                <w:sz w:val="26"/>
                <w:szCs w:val="26"/>
              </w:rPr>
            </w:pPr>
            <w:r>
              <w:rPr>
                <w:rFonts w:ascii="Times New Roman" w:hAnsi="Times New Roman"/>
                <w:sz w:val="26"/>
                <w:szCs w:val="26"/>
              </w:rPr>
              <w:t>ВИЧ - инфекция</w:t>
            </w:r>
          </w:p>
        </w:tc>
        <w:tc>
          <w:tcPr>
            <w:tcW w:w="2411"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262</w:t>
            </w:r>
          </w:p>
        </w:tc>
        <w:tc>
          <w:tcPr>
            <w:tcW w:w="2412"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249</w:t>
            </w:r>
          </w:p>
        </w:tc>
      </w:tr>
      <w:tr>
        <w:tc>
          <w:tcPr>
            <w:tcW w:w="656" w:type="dxa"/>
          </w:tcPr>
          <w:p>
            <w:pPr>
              <w:spacing w:after="0" w:line="240" w:lineRule="auto"/>
              <w:contextualSpacing/>
              <w:rPr>
                <w:rFonts w:ascii="Times New Roman" w:hAnsi="Times New Roman"/>
                <w:sz w:val="26"/>
                <w:szCs w:val="26"/>
              </w:rPr>
            </w:pPr>
            <w:r>
              <w:rPr>
                <w:rFonts w:ascii="Times New Roman" w:hAnsi="Times New Roman"/>
                <w:sz w:val="26"/>
                <w:szCs w:val="26"/>
              </w:rPr>
              <w:t>5</w:t>
            </w:r>
          </w:p>
        </w:tc>
        <w:tc>
          <w:tcPr>
            <w:tcW w:w="4659" w:type="dxa"/>
          </w:tcPr>
          <w:p>
            <w:pPr>
              <w:spacing w:after="0" w:line="240" w:lineRule="auto"/>
              <w:contextualSpacing/>
              <w:rPr>
                <w:rFonts w:ascii="Times New Roman" w:hAnsi="Times New Roman"/>
                <w:sz w:val="26"/>
                <w:szCs w:val="26"/>
              </w:rPr>
            </w:pPr>
            <w:r>
              <w:rPr>
                <w:rFonts w:ascii="Times New Roman" w:hAnsi="Times New Roman"/>
                <w:sz w:val="26"/>
                <w:szCs w:val="26"/>
              </w:rPr>
              <w:t>Психические расстройства и расстройства поведения</w:t>
            </w:r>
          </w:p>
        </w:tc>
        <w:tc>
          <w:tcPr>
            <w:tcW w:w="2411"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5373</w:t>
            </w:r>
          </w:p>
        </w:tc>
        <w:tc>
          <w:tcPr>
            <w:tcW w:w="2412" w:type="dxa"/>
          </w:tcPr>
          <w:p>
            <w:pPr>
              <w:spacing w:after="0" w:line="240" w:lineRule="auto"/>
              <w:contextualSpacing/>
              <w:jc w:val="center"/>
              <w:rPr>
                <w:rFonts w:ascii="Times New Roman" w:hAnsi="Times New Roman"/>
                <w:sz w:val="26"/>
                <w:szCs w:val="26"/>
              </w:rPr>
            </w:pPr>
            <w:r>
              <w:rPr>
                <w:rFonts w:ascii="Times New Roman" w:hAnsi="Times New Roman"/>
                <w:sz w:val="26"/>
                <w:szCs w:val="26"/>
              </w:rPr>
              <w:t>5146</w:t>
            </w:r>
          </w:p>
        </w:tc>
      </w:tr>
    </w:tbl>
    <w:p>
      <w:pPr>
        <w:spacing w:after="0" w:line="240" w:lineRule="auto"/>
        <w:ind w:left="360"/>
        <w:contextualSpacing/>
        <w:jc w:val="both"/>
        <w:rPr>
          <w:rFonts w:ascii="Times New Roman" w:eastAsia="Times New Roman" w:hAnsi="Times New Roman"/>
          <w:sz w:val="26"/>
          <w:szCs w:val="26"/>
          <w:lang w:eastAsia="ru-RU"/>
        </w:rPr>
      </w:pPr>
    </w:p>
    <w:p>
      <w:pPr>
        <w:suppressAutoHyphens/>
        <w:spacing w:after="0" w:line="360" w:lineRule="auto"/>
        <w:ind w:firstLine="709"/>
        <w:contextualSpacing/>
        <w:jc w:val="both"/>
        <w:rPr>
          <w:sz w:val="26"/>
          <w:szCs w:val="26"/>
        </w:rPr>
      </w:pPr>
      <w:r>
        <w:rPr>
          <w:rFonts w:ascii="Times New Roman" w:hAnsi="Times New Roman"/>
          <w:sz w:val="26"/>
          <w:szCs w:val="26"/>
        </w:rPr>
        <w:t>На сегодняшний день на первое место среди инвалидности вышли психические расстройства и расстройства поведения.</w:t>
      </w:r>
      <w:r>
        <w:rPr>
          <w:sz w:val="26"/>
          <w:szCs w:val="26"/>
        </w:rPr>
        <w:t xml:space="preserve"> </w:t>
      </w:r>
      <w:r>
        <w:rPr>
          <w:rFonts w:ascii="Times New Roman" w:hAnsi="Times New Roman"/>
          <w:sz w:val="26"/>
          <w:szCs w:val="26"/>
        </w:rPr>
        <w:t>К сожалению, с каждым годом растет число школьников, агрессивные и конфликтные поступки которых не только нарушают учебный процесс, но и угрожают безопасности нахождения в учебном заведении. Администрация школы, и непосредственно учителя, оказавшиеся в таких ситуациях, попросту не знают о заболевании ребенка и не готовы оказать психологическую помощь такому ребенку, создать необходимые условия и климат для нормального обучения ребёнка, научить ребенка правильно оценивать себя и балансировать свои эмоциональные состояния.</w:t>
      </w:r>
    </w:p>
    <w:p>
      <w:pPr>
        <w:suppressAutoHyphens/>
        <w:spacing w:after="0" w:line="360" w:lineRule="auto"/>
        <w:ind w:firstLine="709"/>
        <w:contextualSpacing/>
        <w:jc w:val="both"/>
        <w:rPr>
          <w:rFonts w:ascii="Times New Roman" w:hAnsi="Times New Roman"/>
          <w:sz w:val="26"/>
          <w:szCs w:val="26"/>
        </w:rPr>
      </w:pPr>
      <w:r>
        <w:rPr>
          <w:rFonts w:ascii="Times New Roman" w:hAnsi="Times New Roman"/>
          <w:sz w:val="26"/>
          <w:szCs w:val="26"/>
        </w:rPr>
        <w:t>В соответствии с Законом Российской Федерации от 02.07.1992 №3118-1 «О психиатрической помощи и гарантиях прав граждан при ее оказании», несовершеннолетний ребенок, достигший возраста 15 лет, может воспользоваться своим правом отказа от предлагаемого лечения  или потребовать его прекращения.</w:t>
      </w:r>
    </w:p>
    <w:p>
      <w:pPr>
        <w:suppressAutoHyphens/>
        <w:spacing w:after="0" w:line="360" w:lineRule="auto"/>
        <w:ind w:firstLine="708"/>
        <w:contextualSpacing/>
        <w:jc w:val="both"/>
        <w:rPr>
          <w:rFonts w:ascii="Times New Roman" w:hAnsi="Times New Roman"/>
          <w:sz w:val="26"/>
          <w:szCs w:val="26"/>
        </w:rPr>
      </w:pPr>
      <w:r>
        <w:rPr>
          <w:rFonts w:ascii="Times New Roman" w:hAnsi="Times New Roman"/>
          <w:sz w:val="26"/>
          <w:szCs w:val="26"/>
        </w:rPr>
        <w:t xml:space="preserve">Но в случае отказа от оказания психиатрической помощи или проведения психиатрического освидетельствования это становится огромной проблемой. У детей, в силу возраста отсутствует адекватное восприятие имеющихся потенциальных проблем со здоровьем, понимание угрозы своей жизни и угрозы жизни и здоровью окружающим людям. Зачастую данные дети, имеющие установленный диагноз психического заболевания, или «трудные» дети с девиантным поведением большую часть времени проводят в социуме и в образовательном пространстве. </w:t>
      </w:r>
    </w:p>
    <w:p>
      <w:pPr>
        <w:suppressAutoHyphens/>
        <w:spacing w:after="0" w:line="360" w:lineRule="auto"/>
        <w:ind w:firstLine="708"/>
        <w:contextualSpacing/>
        <w:jc w:val="both"/>
        <w:rPr>
          <w:rFonts w:ascii="Times New Roman" w:hAnsi="Times New Roman"/>
          <w:sz w:val="26"/>
          <w:szCs w:val="26"/>
        </w:rPr>
      </w:pPr>
      <w:r>
        <w:rPr>
          <w:rFonts w:ascii="Times New Roman" w:hAnsi="Times New Roman"/>
          <w:sz w:val="26"/>
          <w:szCs w:val="26"/>
        </w:rPr>
        <w:t>Это приводит к ухудшению состояния здоровья данной категории детей. Такая же проблема складывается и в системе профилактики наркомании, противодействию незаконному употреблению наркотических средств и психоактивных веществ (далее -ПАВ).</w:t>
      </w:r>
    </w:p>
    <w:p>
      <w:pPr>
        <w:suppressAutoHyphens/>
        <w:spacing w:after="0" w:line="360" w:lineRule="auto"/>
        <w:ind w:firstLine="709"/>
        <w:contextualSpacing/>
        <w:jc w:val="both"/>
        <w:rPr>
          <w:rFonts w:ascii="Times New Roman" w:hAnsi="Times New Roman"/>
          <w:sz w:val="26"/>
          <w:szCs w:val="26"/>
        </w:rPr>
      </w:pPr>
      <w:r>
        <w:rPr>
          <w:rFonts w:ascii="Times New Roman" w:hAnsi="Times New Roman"/>
          <w:sz w:val="26"/>
          <w:szCs w:val="26"/>
        </w:rPr>
        <w:t xml:space="preserve">Медицинская наркологическая помощь несовершеннолетним, на территории области в случае острой интоксикации алкоголем или другими ПАВ (средняя или тяжелая степень опьянения), получают неотложную помощь в ГБУЗ КО «Калужская областная детская больница», ГБУЗ КО «Детская городская больница», районных медицинских организациях. Плановая госпитализация несовершеннолетних до 15 лет осуществляется в ГБУЗ КО «Калужская областная психиатрическая больница», старше 15 лет в ГБУЗ КО «Наркологический диспансер Калужской области» (далее - НДКО) по направлению психиатра-нарколога по работе с детско-подростковым населением. </w:t>
      </w:r>
    </w:p>
    <w:p>
      <w:pPr>
        <w:suppressAutoHyphens/>
        <w:spacing w:after="0" w:line="360" w:lineRule="auto"/>
        <w:ind w:firstLine="709"/>
        <w:contextualSpacing/>
        <w:jc w:val="both"/>
        <w:rPr>
          <w:rFonts w:ascii="Times New Roman" w:hAnsi="Times New Roman"/>
          <w:sz w:val="26"/>
          <w:szCs w:val="26"/>
        </w:rPr>
      </w:pPr>
      <w:r>
        <w:rPr>
          <w:rFonts w:ascii="Times New Roman" w:hAnsi="Times New Roman"/>
          <w:sz w:val="26"/>
          <w:szCs w:val="26"/>
        </w:rPr>
        <w:t>Иммунохроматогррафическим тестированием учащихся в общеобразовательных учреждениях, учреждениях среднего и высшего профессионального образования в 2017-2018 учебном году было охвачено 19 802 учащихся, в 2018-2019 учебном году – 8 734 учащихся. Среди учащихся положительных результатов, к счастью, не выявлено.</w:t>
      </w:r>
    </w:p>
    <w:p>
      <w:pPr>
        <w:suppressAutoHyphens/>
        <w:spacing w:after="0" w:line="360" w:lineRule="auto"/>
        <w:ind w:firstLine="567"/>
        <w:contextualSpacing/>
        <w:jc w:val="both"/>
        <w:rPr>
          <w:rFonts w:ascii="Times New Roman" w:hAnsi="Times New Roman"/>
          <w:sz w:val="26"/>
          <w:szCs w:val="26"/>
        </w:rPr>
      </w:pPr>
      <w:r>
        <w:rPr>
          <w:rFonts w:ascii="Times New Roman" w:hAnsi="Times New Roman"/>
          <w:sz w:val="26"/>
          <w:szCs w:val="26"/>
        </w:rPr>
        <w:t xml:space="preserve"> Эффективное взаимодействие врачей наркологов с организациями и учреждениями системы профилактики, безнадзорности и правонарушений несовершеннолетних осуществляется в рамках комиссии по делам несовершеннолетних и защите их прав.</w:t>
      </w:r>
    </w:p>
    <w:p>
      <w:pPr>
        <w:suppressAutoHyphens/>
        <w:spacing w:after="0" w:line="360" w:lineRule="auto"/>
        <w:ind w:firstLine="567"/>
        <w:contextualSpacing/>
        <w:jc w:val="both"/>
        <w:rPr>
          <w:rFonts w:ascii="Times New Roman" w:hAnsi="Times New Roman"/>
          <w:sz w:val="26"/>
          <w:szCs w:val="26"/>
        </w:rPr>
      </w:pPr>
      <w:r>
        <w:rPr>
          <w:rFonts w:ascii="Times New Roman" w:hAnsi="Times New Roman"/>
          <w:sz w:val="26"/>
          <w:szCs w:val="26"/>
        </w:rPr>
        <w:t xml:space="preserve"> Количество несовершеннолетних, обратившихся в НДКО с диагнозом «употребление наркотических веществ с вредными для здоровья последствиями» за 2108 год составляет 6 человек, из них 2 - по направлению КДНиЗП, 3 - самостоятельно, 1 - по направлению ГБУЗ КО «Региональный центр скорой медицинской помощи и медицины катастроф». С диагнозом «наркомания» - 1 несовершеннолетний обратился самостоятельно. С впервые в жизни установленным диагнозом «наркомания» был поставлен на учет 1 подросток. За 2018 год в стационарах НДКО прошли лечение 13 несовершеннолетних:</w:t>
      </w:r>
    </w:p>
    <w:p>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Pr>
          <w:rFonts w:ascii="Times New Roman" w:hAnsi="Times New Roman"/>
          <w:sz w:val="26"/>
          <w:szCs w:val="26"/>
        </w:rPr>
        <w:t>с диагнозом «наркомания» - 6 человек;</w:t>
      </w:r>
    </w:p>
    <w:p>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Pr>
          <w:rFonts w:ascii="Times New Roman" w:hAnsi="Times New Roman"/>
          <w:sz w:val="26"/>
          <w:szCs w:val="26"/>
        </w:rPr>
        <w:t>с диагнозом «токсикомания» - 1 человек;</w:t>
      </w:r>
    </w:p>
    <w:p>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Pr>
          <w:rFonts w:ascii="Times New Roman" w:hAnsi="Times New Roman"/>
          <w:sz w:val="26"/>
          <w:szCs w:val="26"/>
        </w:rPr>
        <w:t>с диагнозом «алкоголизм» - 2 человека;</w:t>
      </w:r>
    </w:p>
    <w:p>
      <w:pPr>
        <w:widowControl w:val="0"/>
        <w:numPr>
          <w:ilvl w:val="0"/>
          <w:numId w:val="10"/>
        </w:numPr>
        <w:shd w:val="clear" w:color="auto" w:fill="FFFFFF"/>
        <w:tabs>
          <w:tab w:val="left" w:pos="1066"/>
        </w:tabs>
        <w:autoSpaceDE w:val="0"/>
        <w:autoSpaceDN w:val="0"/>
        <w:adjustRightInd w:val="0"/>
        <w:spacing w:after="0" w:line="360" w:lineRule="auto"/>
        <w:ind w:left="567"/>
        <w:contextualSpacing/>
        <w:jc w:val="both"/>
        <w:rPr>
          <w:rFonts w:ascii="Times New Roman" w:hAnsi="Times New Roman"/>
          <w:sz w:val="26"/>
          <w:szCs w:val="26"/>
        </w:rPr>
      </w:pPr>
      <w:r>
        <w:rPr>
          <w:rFonts w:ascii="Times New Roman" w:hAnsi="Times New Roman"/>
          <w:sz w:val="26"/>
          <w:szCs w:val="26"/>
        </w:rPr>
        <w:t>с диагнозом «употребление наркотических веществ с вредными последствиями для здоровья» - 4 человека.</w:t>
      </w:r>
    </w:p>
    <w:p>
      <w:pPr>
        <w:widowControl w:val="0"/>
        <w:shd w:val="clear" w:color="auto" w:fill="FFFFFF"/>
        <w:tabs>
          <w:tab w:val="left" w:pos="709"/>
          <w:tab w:val="left" w:pos="1066"/>
        </w:tabs>
        <w:autoSpaceDE w:val="0"/>
        <w:autoSpaceDN w:val="0"/>
        <w:adjustRightInd w:val="0"/>
        <w:spacing w:after="0" w:line="360" w:lineRule="auto"/>
        <w:ind w:firstLine="709"/>
        <w:contextualSpacing/>
        <w:jc w:val="both"/>
        <w:rPr>
          <w:rFonts w:ascii="Times New Roman" w:hAnsi="Times New Roman"/>
          <w:sz w:val="26"/>
          <w:szCs w:val="26"/>
        </w:rPr>
      </w:pPr>
      <w:r>
        <w:rPr>
          <w:rFonts w:ascii="Times New Roman" w:hAnsi="Times New Roman"/>
          <w:sz w:val="26"/>
          <w:szCs w:val="26"/>
        </w:rPr>
        <w:t>Все подростки, прошедшие лечение, посещают детско-подростковый наркологический кабинет, где им оказывается консультативно-лечебная помощь. Также с несовершеннолетними и их родителями или законными представителями проводятся профилактические мероприятия.</w:t>
      </w:r>
    </w:p>
    <w:p>
      <w:pPr>
        <w:tabs>
          <w:tab w:val="left" w:pos="8420"/>
          <w:tab w:val="left" w:leader="hyphen" w:pos="10065"/>
        </w:tabs>
        <w:spacing w:after="0" w:line="360" w:lineRule="auto"/>
        <w:ind w:left="23" w:firstLine="697"/>
        <w:contextualSpacing/>
        <w:jc w:val="both"/>
        <w:rPr>
          <w:rFonts w:ascii="Times New Roman" w:hAnsi="Times New Roman"/>
          <w:sz w:val="26"/>
          <w:szCs w:val="26"/>
        </w:rPr>
      </w:pPr>
      <w:r>
        <w:rPr>
          <w:rFonts w:ascii="Times New Roman" w:hAnsi="Times New Roman"/>
          <w:sz w:val="26"/>
          <w:szCs w:val="26"/>
        </w:rPr>
        <w:t xml:space="preserve">В соответствии с выше приведённым Законом, больные наркоманией несовершеннолетние в возрасте старше шестнадцати лет имеют право на информированное добровольное согласие на медицинское вмешательство или отказ от него. </w:t>
      </w:r>
    </w:p>
    <w:p>
      <w:pPr>
        <w:tabs>
          <w:tab w:val="left" w:pos="8420"/>
          <w:tab w:val="left" w:leader="hyphen" w:pos="10065"/>
        </w:tabs>
        <w:spacing w:after="0" w:line="360" w:lineRule="auto"/>
        <w:ind w:left="23" w:firstLine="697"/>
        <w:contextualSpacing/>
        <w:jc w:val="both"/>
        <w:rPr>
          <w:rFonts w:ascii="Times New Roman" w:hAnsi="Times New Roman"/>
          <w:sz w:val="26"/>
          <w:szCs w:val="26"/>
        </w:rPr>
      </w:pPr>
      <w:r>
        <w:rPr>
          <w:rFonts w:ascii="Times New Roman" w:hAnsi="Times New Roman"/>
          <w:sz w:val="26"/>
          <w:szCs w:val="26"/>
        </w:rPr>
        <w:t>Одним из важных видов профилактики заболеваний, является диспансеризация. Именно плановая диспансеризация детей позволяет наблюдать за их ростом и развитием, отслеживать изменения в организме и предотвращать негативные последствия заболеваний.</w:t>
      </w:r>
    </w:p>
    <w:p>
      <w:pPr>
        <w:tabs>
          <w:tab w:val="left" w:pos="8420"/>
          <w:tab w:val="left" w:leader="hyphen" w:pos="10065"/>
        </w:tabs>
        <w:spacing w:after="0" w:line="360" w:lineRule="auto"/>
        <w:ind w:left="23" w:firstLine="697"/>
        <w:contextualSpacing/>
        <w:jc w:val="both"/>
        <w:rPr>
          <w:rFonts w:ascii="Times New Roman" w:hAnsi="Times New Roman"/>
          <w:sz w:val="26"/>
          <w:szCs w:val="26"/>
        </w:rPr>
      </w:pPr>
      <w:r>
        <w:rPr>
          <w:rFonts w:ascii="Times New Roman" w:hAnsi="Times New Roman"/>
          <w:sz w:val="26"/>
          <w:szCs w:val="26"/>
        </w:rPr>
        <w:t>При проведении диспансеризации в данном отчетном периоде по группам здоровья дети распределились следующим образом:</w:t>
      </w:r>
    </w:p>
    <w:p>
      <w:pPr>
        <w:spacing w:after="0" w:line="240" w:lineRule="auto"/>
        <w:contextualSpacing/>
        <w:jc w:val="right"/>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Таблица № 9</w:t>
      </w:r>
    </w:p>
    <w:p>
      <w:pPr>
        <w:tabs>
          <w:tab w:val="left" w:pos="8420"/>
          <w:tab w:val="left" w:leader="hyphen" w:pos="10065"/>
        </w:tabs>
        <w:spacing w:after="0" w:line="360" w:lineRule="auto"/>
        <w:ind w:left="23" w:firstLine="697"/>
        <w:contextualSpacing/>
        <w:jc w:val="both"/>
        <w:rPr>
          <w:rFonts w:ascii="Times New Roman" w:hAnsi="Times New Roman"/>
          <w:sz w:val="26"/>
          <w:szCs w:val="26"/>
        </w:rPr>
      </w:pPr>
    </w:p>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Состояние заболеваемости </w:t>
      </w:r>
    </w:p>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по группам несовершеннолетних</w:t>
      </w:r>
    </w:p>
    <w:p>
      <w:pPr>
        <w:spacing w:after="0" w:line="240" w:lineRule="auto"/>
        <w:contextualSpacing/>
        <w:jc w:val="center"/>
        <w:rPr>
          <w:rFonts w:ascii="Times New Roman" w:eastAsia="Times New Roman" w:hAnsi="Times New Roman"/>
          <w:b/>
          <w:sz w:val="26"/>
          <w:szCs w:val="26"/>
          <w:lang w:eastAsia="ru-RU"/>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4"/>
        <w:gridCol w:w="6520"/>
        <w:gridCol w:w="1559"/>
        <w:gridCol w:w="1701"/>
      </w:tblGrid>
      <w:tr>
        <w:tc>
          <w:tcPr>
            <w:tcW w:w="454" w:type="dxa"/>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п/п</w:t>
            </w:r>
          </w:p>
        </w:tc>
        <w:tc>
          <w:tcPr>
            <w:tcW w:w="6520" w:type="dxa"/>
            <w:tcMar>
              <w:left w:w="28" w:type="dxa"/>
              <w:right w:w="28" w:type="dxa"/>
            </w:tcMar>
            <w:vAlign w:val="center"/>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Наименование</w:t>
            </w:r>
          </w:p>
        </w:tc>
        <w:tc>
          <w:tcPr>
            <w:tcW w:w="1559" w:type="dxa"/>
            <w:vAlign w:val="center"/>
          </w:tcPr>
          <w:p>
            <w:pPr>
              <w:spacing w:after="0" w:line="240" w:lineRule="auto"/>
              <w:contextualSpacing/>
              <w:jc w:val="center"/>
              <w:rPr>
                <w:rFonts w:ascii="Times New Roman" w:eastAsia="Times New Roman" w:hAnsi="Times New Roman"/>
                <w:b/>
                <w:sz w:val="26"/>
                <w:szCs w:val="26"/>
                <w:lang w:eastAsia="ru-RU"/>
              </w:rPr>
            </w:pPr>
            <w:smartTag w:uri="urn:schemas-microsoft-com:office:smarttags" w:element="metricconverter">
              <w:smartTagPr>
                <w:attr w:name="ProductID" w:val="2017 г"/>
              </w:smartTagPr>
              <w:r>
                <w:rPr>
                  <w:rFonts w:ascii="Times New Roman" w:eastAsia="Times New Roman" w:hAnsi="Times New Roman"/>
                  <w:b/>
                  <w:sz w:val="26"/>
                  <w:szCs w:val="26"/>
                  <w:lang w:eastAsia="ru-RU"/>
                </w:rPr>
                <w:t>2017 год</w:t>
              </w:r>
            </w:smartTag>
          </w:p>
        </w:tc>
        <w:tc>
          <w:tcPr>
            <w:tcW w:w="1701" w:type="dxa"/>
            <w:vAlign w:val="center"/>
          </w:tcPr>
          <w:p>
            <w:pPr>
              <w:spacing w:after="0" w:line="240" w:lineRule="auto"/>
              <w:contextualSpacing/>
              <w:jc w:val="center"/>
              <w:rPr>
                <w:rFonts w:ascii="Times New Roman" w:eastAsia="Times New Roman" w:hAnsi="Times New Roman"/>
                <w:b/>
                <w:sz w:val="26"/>
                <w:szCs w:val="26"/>
                <w:lang w:eastAsia="ru-RU"/>
              </w:rPr>
            </w:pPr>
            <w:smartTag w:uri="urn:schemas-microsoft-com:office:smarttags" w:element="metricconverter">
              <w:smartTagPr>
                <w:attr w:name="ProductID" w:val="2018 г"/>
              </w:smartTagPr>
              <w:r>
                <w:rPr>
                  <w:rFonts w:ascii="Times New Roman" w:eastAsia="Times New Roman" w:hAnsi="Times New Roman"/>
                  <w:b/>
                  <w:sz w:val="26"/>
                  <w:szCs w:val="26"/>
                  <w:lang w:eastAsia="ru-RU"/>
                </w:rPr>
                <w:t>2018 год</w:t>
              </w:r>
            </w:smartTag>
          </w:p>
        </w:tc>
      </w:tr>
      <w:tr>
        <w:tc>
          <w:tcPr>
            <w:tcW w:w="454" w:type="dxa"/>
          </w:tcPr>
          <w:p>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Численность несовершеннолетних с </w:t>
            </w:r>
            <w:r>
              <w:rPr>
                <w:rFonts w:ascii="Times New Roman" w:eastAsia="Times New Roman" w:hAnsi="Times New Roman"/>
                <w:sz w:val="26"/>
                <w:szCs w:val="26"/>
                <w:lang w:val="en-US" w:eastAsia="ru-RU"/>
              </w:rPr>
              <w:t>I</w:t>
            </w:r>
            <w:r>
              <w:rPr>
                <w:rFonts w:ascii="Times New Roman" w:eastAsia="Times New Roman" w:hAnsi="Times New Roman"/>
                <w:sz w:val="26"/>
                <w:szCs w:val="26"/>
                <w:lang w:eastAsia="ru-RU"/>
              </w:rPr>
              <w:t xml:space="preserve"> группой здоровья</w:t>
            </w:r>
          </w:p>
        </w:tc>
        <w:tc>
          <w:tcPr>
            <w:tcW w:w="1559" w:type="dxa"/>
            <w:vAlign w:val="center"/>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64241</w:t>
            </w:r>
          </w:p>
        </w:tc>
        <w:tc>
          <w:tcPr>
            <w:tcW w:w="1701"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58894</w:t>
            </w:r>
          </w:p>
        </w:tc>
      </w:tr>
      <w:tr>
        <w:tc>
          <w:tcPr>
            <w:tcW w:w="454" w:type="dxa"/>
          </w:tcPr>
          <w:p>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Численность несовершеннолетних со </w:t>
            </w:r>
            <w:r>
              <w:rPr>
                <w:rFonts w:ascii="Times New Roman" w:eastAsia="Times New Roman" w:hAnsi="Times New Roman"/>
                <w:sz w:val="26"/>
                <w:szCs w:val="26"/>
                <w:lang w:val="en-US" w:eastAsia="ru-RU"/>
              </w:rPr>
              <w:t>II</w:t>
            </w:r>
            <w:r>
              <w:rPr>
                <w:rFonts w:ascii="Times New Roman" w:eastAsia="Times New Roman" w:hAnsi="Times New Roman"/>
                <w:sz w:val="26"/>
                <w:szCs w:val="26"/>
                <w:lang w:eastAsia="ru-RU"/>
              </w:rPr>
              <w:t xml:space="preserve"> группой здоровья</w:t>
            </w:r>
          </w:p>
        </w:tc>
        <w:tc>
          <w:tcPr>
            <w:tcW w:w="1559" w:type="dxa"/>
            <w:vAlign w:val="center"/>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53502</w:t>
            </w:r>
          </w:p>
        </w:tc>
        <w:tc>
          <w:tcPr>
            <w:tcW w:w="1701"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65528</w:t>
            </w:r>
          </w:p>
        </w:tc>
      </w:tr>
      <w:tr>
        <w:tc>
          <w:tcPr>
            <w:tcW w:w="454" w:type="dxa"/>
          </w:tcPr>
          <w:p>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Численность несовершеннолетних с </w:t>
            </w:r>
            <w:r>
              <w:rPr>
                <w:rFonts w:ascii="Times New Roman" w:eastAsia="Times New Roman" w:hAnsi="Times New Roman"/>
                <w:sz w:val="26"/>
                <w:szCs w:val="26"/>
                <w:lang w:val="en-US" w:eastAsia="ru-RU"/>
              </w:rPr>
              <w:t>III</w:t>
            </w:r>
            <w:r>
              <w:rPr>
                <w:rFonts w:ascii="Times New Roman" w:eastAsia="Times New Roman" w:hAnsi="Times New Roman"/>
                <w:sz w:val="26"/>
                <w:szCs w:val="26"/>
                <w:lang w:eastAsia="ru-RU"/>
              </w:rPr>
              <w:t xml:space="preserve"> группой здоровья</w:t>
            </w:r>
          </w:p>
        </w:tc>
        <w:tc>
          <w:tcPr>
            <w:tcW w:w="1559" w:type="dxa"/>
            <w:vAlign w:val="center"/>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9341</w:t>
            </w:r>
          </w:p>
        </w:tc>
        <w:tc>
          <w:tcPr>
            <w:tcW w:w="1701"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9605</w:t>
            </w:r>
          </w:p>
        </w:tc>
      </w:tr>
      <w:tr>
        <w:tc>
          <w:tcPr>
            <w:tcW w:w="454" w:type="dxa"/>
          </w:tcPr>
          <w:p>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Численность несовершеннолетних с </w:t>
            </w:r>
            <w:r>
              <w:rPr>
                <w:rFonts w:ascii="Times New Roman" w:eastAsia="Times New Roman" w:hAnsi="Times New Roman"/>
                <w:sz w:val="26"/>
                <w:szCs w:val="26"/>
                <w:lang w:val="en-US" w:eastAsia="ru-RU"/>
              </w:rPr>
              <w:t>IV</w:t>
            </w:r>
            <w:r>
              <w:rPr>
                <w:rFonts w:ascii="Times New Roman" w:eastAsia="Times New Roman" w:hAnsi="Times New Roman"/>
                <w:sz w:val="26"/>
                <w:szCs w:val="26"/>
                <w:lang w:eastAsia="ru-RU"/>
              </w:rPr>
              <w:t xml:space="preserve"> группой здоровья</w:t>
            </w:r>
          </w:p>
        </w:tc>
        <w:tc>
          <w:tcPr>
            <w:tcW w:w="1559" w:type="dxa"/>
            <w:vAlign w:val="center"/>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416</w:t>
            </w:r>
          </w:p>
        </w:tc>
        <w:tc>
          <w:tcPr>
            <w:tcW w:w="1701"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358</w:t>
            </w:r>
          </w:p>
        </w:tc>
      </w:tr>
      <w:tr>
        <w:tc>
          <w:tcPr>
            <w:tcW w:w="454" w:type="dxa"/>
          </w:tcPr>
          <w:p>
            <w:pPr>
              <w:numPr>
                <w:ilvl w:val="0"/>
                <w:numId w:val="9"/>
              </w:numPr>
              <w:spacing w:after="0" w:line="240" w:lineRule="auto"/>
              <w:ind w:left="357" w:hanging="357"/>
              <w:contextualSpacing/>
              <w:jc w:val="center"/>
              <w:rPr>
                <w:rFonts w:ascii="Times New Roman" w:eastAsia="Times New Roman" w:hAnsi="Times New Roman"/>
                <w:sz w:val="26"/>
                <w:szCs w:val="26"/>
                <w:lang w:eastAsia="ru-RU"/>
              </w:rPr>
            </w:pPr>
          </w:p>
        </w:tc>
        <w:tc>
          <w:tcPr>
            <w:tcW w:w="6520" w:type="dxa"/>
            <w:tcMar>
              <w:left w:w="28" w:type="dxa"/>
              <w:right w:w="28" w:type="dxa"/>
            </w:tcMar>
          </w:tcPr>
          <w:p>
            <w:pPr>
              <w:spacing w:after="0" w:line="240" w:lineRule="auto"/>
              <w:contextualSpacing/>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Численность несовершеннолетних с </w:t>
            </w:r>
            <w:r>
              <w:rPr>
                <w:rFonts w:ascii="Times New Roman" w:eastAsia="Times New Roman" w:hAnsi="Times New Roman"/>
                <w:sz w:val="26"/>
                <w:szCs w:val="26"/>
                <w:lang w:val="en-US" w:eastAsia="ru-RU"/>
              </w:rPr>
              <w:t>V</w:t>
            </w:r>
            <w:r>
              <w:rPr>
                <w:rFonts w:ascii="Times New Roman" w:eastAsia="Times New Roman" w:hAnsi="Times New Roman"/>
                <w:sz w:val="26"/>
                <w:szCs w:val="26"/>
                <w:lang w:eastAsia="ru-RU"/>
              </w:rPr>
              <w:t xml:space="preserve"> группой здоровья</w:t>
            </w:r>
          </w:p>
        </w:tc>
        <w:tc>
          <w:tcPr>
            <w:tcW w:w="1559" w:type="dxa"/>
            <w:vAlign w:val="center"/>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595</w:t>
            </w:r>
          </w:p>
        </w:tc>
        <w:tc>
          <w:tcPr>
            <w:tcW w:w="1701"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862</w:t>
            </w:r>
          </w:p>
        </w:tc>
      </w:tr>
    </w:tbl>
    <w:p>
      <w:pPr>
        <w:spacing w:after="0" w:line="240" w:lineRule="auto"/>
        <w:ind w:firstLine="426"/>
        <w:contextualSpacing/>
        <w:jc w:val="both"/>
        <w:rPr>
          <w:rFonts w:ascii="Times New Roman" w:eastAsia="Times New Roman" w:hAnsi="Times New Roman"/>
          <w:sz w:val="26"/>
          <w:szCs w:val="26"/>
          <w:lang w:eastAsia="ru-RU"/>
        </w:rPr>
      </w:pPr>
    </w:p>
    <w:p>
      <w:pPr>
        <w:pStyle w:val="uk-margin"/>
        <w:spacing w:before="0" w:beforeAutospacing="0" w:after="0" w:afterAutospacing="0" w:line="360" w:lineRule="auto"/>
        <w:ind w:firstLine="709"/>
        <w:contextualSpacing/>
        <w:jc w:val="both"/>
        <w:rPr>
          <w:sz w:val="26"/>
          <w:szCs w:val="26"/>
        </w:rPr>
      </w:pPr>
      <w:r>
        <w:rPr>
          <w:sz w:val="26"/>
          <w:szCs w:val="26"/>
        </w:rPr>
        <w:t>В целях усовершенствования и повышения уровня оказания медицинской помощи несовершеннолетним, в настоящее время, действуют следующие региональные программы медицинского обслуживания несовершеннолетних, а также касающиеся льготного лекарственного обеспечения несовершеннолетних и детей-инвалидов:</w:t>
      </w:r>
    </w:p>
    <w:p>
      <w:pPr>
        <w:pStyle w:val="uk-margin"/>
        <w:spacing w:before="0" w:beforeAutospacing="0" w:after="0" w:afterAutospacing="0" w:line="360" w:lineRule="auto"/>
        <w:ind w:firstLine="709"/>
        <w:contextualSpacing/>
        <w:jc w:val="both"/>
        <w:rPr>
          <w:sz w:val="26"/>
          <w:szCs w:val="26"/>
        </w:rPr>
      </w:pPr>
      <w:r>
        <w:rPr>
          <w:sz w:val="26"/>
          <w:szCs w:val="26"/>
        </w:rPr>
        <w:t>- Постановление Правительства Калужской области от 31.12.2013 № 758            «Об утверждении государственной программы Калужской области «Развитие здравоохранения в Калужской области»;</w:t>
      </w:r>
    </w:p>
    <w:p>
      <w:pPr>
        <w:pStyle w:val="uk-margin"/>
        <w:spacing w:before="0" w:beforeAutospacing="0" w:after="0" w:afterAutospacing="0" w:line="360" w:lineRule="auto"/>
        <w:ind w:firstLine="709"/>
        <w:contextualSpacing/>
        <w:jc w:val="both"/>
        <w:rPr>
          <w:sz w:val="26"/>
          <w:szCs w:val="26"/>
        </w:rPr>
      </w:pPr>
      <w:r>
        <w:rPr>
          <w:sz w:val="26"/>
          <w:szCs w:val="26"/>
        </w:rPr>
        <w:t>- Постановление Правительства Калужской области от 28.12.2017 № 802              «О Программе государственных гарантий бесплатного оказания гражданам медицинской помощи в Калужской области на 2018 и на плановый период 2019 и 2020 годов».</w:t>
      </w:r>
    </w:p>
    <w:p>
      <w:pPr>
        <w:pStyle w:val="uk-margin"/>
        <w:spacing w:before="0" w:beforeAutospacing="0" w:after="0" w:afterAutospacing="0" w:line="360" w:lineRule="auto"/>
        <w:ind w:firstLine="708"/>
        <w:contextualSpacing/>
        <w:jc w:val="both"/>
        <w:rPr>
          <w:sz w:val="26"/>
          <w:szCs w:val="26"/>
        </w:rPr>
      </w:pPr>
      <w:r>
        <w:rPr>
          <w:sz w:val="26"/>
          <w:szCs w:val="26"/>
        </w:rPr>
        <w:t>В регионе 465 детей-инвалидов, получающих льготы, были обеспечены лекарственными препаратами за счет средств бюджета Калужской области. По 3 907 рецептам получены лекарственные препараты на сумму 51 918 260, 25 руб.</w:t>
      </w:r>
    </w:p>
    <w:p>
      <w:pPr>
        <w:pStyle w:val="uk-margin"/>
        <w:spacing w:before="0" w:beforeAutospacing="0" w:after="0" w:afterAutospacing="0" w:line="360" w:lineRule="auto"/>
        <w:ind w:firstLine="708"/>
        <w:contextualSpacing/>
        <w:jc w:val="both"/>
        <w:rPr>
          <w:bCs/>
          <w:sz w:val="26"/>
          <w:szCs w:val="26"/>
          <w:lang w:eastAsia="en-US"/>
        </w:rPr>
      </w:pPr>
      <w:r>
        <w:rPr>
          <w:sz w:val="26"/>
          <w:szCs w:val="26"/>
        </w:rPr>
        <w:t xml:space="preserve">Также, в целях лечения и реабилитации </w:t>
      </w:r>
      <w:r>
        <w:rPr>
          <w:bCs/>
          <w:sz w:val="26"/>
          <w:szCs w:val="26"/>
          <w:lang w:eastAsia="en-US"/>
        </w:rPr>
        <w:t>в санаторно-курортные учреждения, находящиеся в ведении Минздрава России направлено  417 несовершеннолетних детей, из них 377 получили помощь на территории области в  ФГБУ «Детский психо-неврологический санаторий «Калуга-Бор».</w:t>
      </w:r>
    </w:p>
    <w:p>
      <w:pPr>
        <w:autoSpaceDE w:val="0"/>
        <w:autoSpaceDN w:val="0"/>
        <w:adjustRightInd w:val="0"/>
        <w:spacing w:line="360" w:lineRule="auto"/>
        <w:ind w:firstLine="708"/>
        <w:contextualSpacing/>
        <w:jc w:val="both"/>
        <w:rPr>
          <w:rFonts w:ascii="Times New Roman" w:eastAsia="Times New Roman" w:hAnsi="Times New Roman"/>
          <w:bCs/>
          <w:sz w:val="26"/>
          <w:szCs w:val="26"/>
        </w:rPr>
      </w:pPr>
      <w:r>
        <w:rPr>
          <w:rFonts w:ascii="Times New Roman" w:eastAsia="Times New Roman" w:hAnsi="Times New Roman"/>
          <w:bCs/>
          <w:sz w:val="26"/>
          <w:szCs w:val="26"/>
        </w:rPr>
        <w:t xml:space="preserve">Региональным министерством здравоохранения в федеральные клиники для получения консультаций специалистов направлено 163 ребенка, на оказание высокотехнологичной медицинской помощи  направлен 731 ребенок,  реабилитацию в федеральных клиниках и медицинских организациях за пределами региона получило 78 детей. </w:t>
      </w:r>
    </w:p>
    <w:p>
      <w:pPr>
        <w:autoSpaceDE w:val="0"/>
        <w:autoSpaceDN w:val="0"/>
        <w:adjustRightInd w:val="0"/>
        <w:spacing w:line="360" w:lineRule="auto"/>
        <w:ind w:firstLine="708"/>
        <w:contextualSpacing/>
        <w:jc w:val="both"/>
        <w:rPr>
          <w:rFonts w:ascii="Times New Roman" w:hAnsi="Times New Roman"/>
          <w:sz w:val="26"/>
          <w:szCs w:val="26"/>
        </w:rPr>
      </w:pPr>
      <w:r>
        <w:rPr>
          <w:rFonts w:ascii="Times New Roman" w:hAnsi="Times New Roman"/>
          <w:sz w:val="26"/>
          <w:szCs w:val="26"/>
        </w:rPr>
        <w:t xml:space="preserve">На 01.02.2019 на территории Калужской области имеют лицензию на осуществление медицинской деятельности 180 (100%) медицинских кабинетов общеобразовательных организаций (в том числе школы-интернаты) и 226 (100%) медицинских кабинетов дошкольных образовательных организаций. </w:t>
      </w:r>
    </w:p>
    <w:p>
      <w:pPr>
        <w:spacing w:after="0" w:line="360" w:lineRule="auto"/>
        <w:ind w:firstLine="709"/>
        <w:contextualSpacing/>
        <w:jc w:val="both"/>
        <w:textAlignment w:val="baseline"/>
        <w:rPr>
          <w:rFonts w:ascii="Times New Roman" w:hAnsi="Times New Roman"/>
          <w:sz w:val="26"/>
          <w:szCs w:val="26"/>
        </w:rPr>
      </w:pPr>
      <w:r>
        <w:rPr>
          <w:rFonts w:ascii="Times New Roman" w:hAnsi="Times New Roman"/>
          <w:sz w:val="26"/>
          <w:szCs w:val="26"/>
        </w:rPr>
        <w:t>Лицензии выданы министерством здравоохранения Калужской области. Медицинские кабинеты образовательных учреждений г. Обнинска включены в лицензию ФГБУЗ «Клинической больницы № 8» ФМБА России, выданную Территориальным органом Росздравнадзора по Калужской области.</w:t>
      </w:r>
    </w:p>
    <w:p>
      <w:pPr>
        <w:spacing w:after="0" w:line="360" w:lineRule="auto"/>
        <w:ind w:firstLine="709"/>
        <w:contextualSpacing/>
        <w:jc w:val="both"/>
        <w:textAlignment w:val="baseline"/>
        <w:rPr>
          <w:rFonts w:ascii="Times New Roman" w:hAnsi="Times New Roman"/>
          <w:sz w:val="26"/>
          <w:szCs w:val="26"/>
        </w:rPr>
      </w:pPr>
      <w:r>
        <w:rPr>
          <w:rFonts w:ascii="Times New Roman" w:hAnsi="Times New Roman"/>
          <w:sz w:val="26"/>
          <w:szCs w:val="26"/>
        </w:rPr>
        <w:t>Следует заметить неудовлетворительную  ситуации в регионе с обеспечением медицинским персоналом дошкольных и общеобразовательных организаций.</w:t>
      </w:r>
      <w:r>
        <w:rPr>
          <w:sz w:val="26"/>
          <w:szCs w:val="26"/>
        </w:rPr>
        <w:t xml:space="preserve"> </w:t>
      </w:r>
      <w:r>
        <w:rPr>
          <w:rFonts w:ascii="Times New Roman" w:hAnsi="Times New Roman"/>
          <w:sz w:val="26"/>
          <w:szCs w:val="26"/>
        </w:rPr>
        <w:t>Статистические данные обеспечения медицинским персоналом дошкольных и общеобразовательных организаций приведены в таблице № 10.</w:t>
      </w:r>
    </w:p>
    <w:p>
      <w:pPr>
        <w:spacing w:after="0" w:line="240" w:lineRule="auto"/>
        <w:ind w:firstLine="709"/>
        <w:contextualSpacing/>
        <w:jc w:val="both"/>
        <w:textAlignment w:val="baseline"/>
        <w:rPr>
          <w:rFonts w:ascii="Times New Roman" w:hAnsi="Times New Roman"/>
          <w:sz w:val="26"/>
          <w:szCs w:val="26"/>
        </w:rPr>
      </w:pPr>
    </w:p>
    <w:p>
      <w:pPr>
        <w:spacing w:after="0" w:line="240" w:lineRule="auto"/>
        <w:ind w:firstLine="426"/>
        <w:contextualSpacing/>
        <w:jc w:val="right"/>
        <w:textAlignment w:val="baseline"/>
        <w:rPr>
          <w:rFonts w:ascii="Times New Roman" w:hAnsi="Times New Roman"/>
          <w:b/>
          <w:i/>
          <w:sz w:val="26"/>
          <w:szCs w:val="26"/>
        </w:rPr>
      </w:pPr>
      <w:r>
        <w:rPr>
          <w:rFonts w:ascii="Times New Roman" w:hAnsi="Times New Roman"/>
          <w:b/>
          <w:i/>
          <w:sz w:val="26"/>
          <w:szCs w:val="26"/>
        </w:rPr>
        <w:t>Таблица № 10</w:t>
      </w:r>
    </w:p>
    <w:p>
      <w:pPr>
        <w:spacing w:after="0" w:line="240" w:lineRule="auto"/>
        <w:ind w:firstLine="426"/>
        <w:contextualSpacing/>
        <w:jc w:val="center"/>
        <w:textAlignment w:val="baseline"/>
        <w:rPr>
          <w:rFonts w:ascii="Times New Roman" w:hAnsi="Times New Roman"/>
          <w:b/>
          <w:sz w:val="26"/>
          <w:szCs w:val="26"/>
        </w:rPr>
      </w:pPr>
    </w:p>
    <w:p>
      <w:pPr>
        <w:spacing w:after="0" w:line="240" w:lineRule="auto"/>
        <w:ind w:firstLine="426"/>
        <w:contextualSpacing/>
        <w:jc w:val="center"/>
        <w:textAlignment w:val="baseline"/>
        <w:rPr>
          <w:rFonts w:ascii="Times New Roman" w:hAnsi="Times New Roman"/>
          <w:b/>
          <w:sz w:val="26"/>
          <w:szCs w:val="26"/>
        </w:rPr>
      </w:pPr>
      <w:r>
        <w:rPr>
          <w:rFonts w:ascii="Times New Roman" w:hAnsi="Times New Roman"/>
          <w:b/>
          <w:sz w:val="26"/>
          <w:szCs w:val="26"/>
        </w:rPr>
        <w:t xml:space="preserve">Обеспечение медицинским персоналом дошкольных и </w:t>
      </w:r>
    </w:p>
    <w:p>
      <w:pPr>
        <w:spacing w:after="0" w:line="240" w:lineRule="auto"/>
        <w:ind w:firstLine="426"/>
        <w:contextualSpacing/>
        <w:jc w:val="center"/>
        <w:textAlignment w:val="baseline"/>
        <w:rPr>
          <w:rFonts w:ascii="Times New Roman" w:hAnsi="Times New Roman"/>
          <w:b/>
          <w:sz w:val="26"/>
          <w:szCs w:val="26"/>
        </w:rPr>
      </w:pPr>
      <w:r>
        <w:rPr>
          <w:rFonts w:ascii="Times New Roman" w:hAnsi="Times New Roman"/>
          <w:b/>
          <w:sz w:val="26"/>
          <w:szCs w:val="26"/>
        </w:rPr>
        <w:t>общеобразовательных организаций</w:t>
      </w:r>
    </w:p>
    <w:p>
      <w:pPr>
        <w:spacing w:after="0" w:line="240" w:lineRule="auto"/>
        <w:ind w:firstLine="426"/>
        <w:contextualSpacing/>
        <w:jc w:val="center"/>
        <w:textAlignment w:val="baseline"/>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056"/>
        <w:gridCol w:w="2552"/>
        <w:gridCol w:w="2942"/>
      </w:tblGrid>
      <w:tr>
        <w:tc>
          <w:tcPr>
            <w:tcW w:w="588" w:type="dxa"/>
            <w:shd w:val="clear" w:color="auto" w:fill="auto"/>
          </w:tcPr>
          <w:p>
            <w:pPr>
              <w:spacing w:after="0" w:line="240" w:lineRule="auto"/>
              <w:contextualSpacing/>
              <w:jc w:val="center"/>
              <w:textAlignment w:val="baseline"/>
              <w:rPr>
                <w:rFonts w:ascii="Times New Roman" w:hAnsi="Times New Roman"/>
                <w:b/>
                <w:sz w:val="26"/>
                <w:szCs w:val="26"/>
              </w:rPr>
            </w:pPr>
            <w:r>
              <w:rPr>
                <w:rFonts w:ascii="Times New Roman" w:hAnsi="Times New Roman"/>
                <w:b/>
                <w:sz w:val="26"/>
                <w:szCs w:val="26"/>
              </w:rPr>
              <w:t>№</w:t>
            </w:r>
          </w:p>
          <w:p>
            <w:pPr>
              <w:spacing w:after="0" w:line="240" w:lineRule="auto"/>
              <w:contextualSpacing/>
              <w:jc w:val="center"/>
              <w:textAlignment w:val="baseline"/>
              <w:rPr>
                <w:rFonts w:ascii="Times New Roman" w:hAnsi="Times New Roman"/>
                <w:sz w:val="26"/>
                <w:szCs w:val="26"/>
              </w:rPr>
            </w:pPr>
            <w:r>
              <w:rPr>
                <w:rFonts w:ascii="Times New Roman" w:hAnsi="Times New Roman"/>
                <w:b/>
                <w:sz w:val="26"/>
                <w:szCs w:val="26"/>
              </w:rPr>
              <w:t>п/п</w:t>
            </w:r>
          </w:p>
        </w:tc>
        <w:tc>
          <w:tcPr>
            <w:tcW w:w="4056" w:type="dxa"/>
            <w:shd w:val="clear" w:color="auto" w:fill="auto"/>
          </w:tcPr>
          <w:p>
            <w:pPr>
              <w:spacing w:after="0" w:line="240" w:lineRule="auto"/>
              <w:contextualSpacing/>
              <w:jc w:val="center"/>
              <w:textAlignment w:val="baseline"/>
              <w:rPr>
                <w:rFonts w:ascii="Times New Roman" w:hAnsi="Times New Roman"/>
                <w:b/>
                <w:sz w:val="26"/>
                <w:szCs w:val="26"/>
              </w:rPr>
            </w:pPr>
            <w:r>
              <w:rPr>
                <w:rFonts w:ascii="Times New Roman" w:hAnsi="Times New Roman"/>
                <w:b/>
                <w:sz w:val="26"/>
                <w:szCs w:val="26"/>
              </w:rPr>
              <w:t>Показатели</w:t>
            </w:r>
          </w:p>
        </w:tc>
        <w:tc>
          <w:tcPr>
            <w:tcW w:w="2552" w:type="dxa"/>
            <w:shd w:val="clear" w:color="auto" w:fill="auto"/>
          </w:tcPr>
          <w:p>
            <w:pPr>
              <w:spacing w:after="0" w:line="240" w:lineRule="auto"/>
              <w:contextualSpacing/>
              <w:jc w:val="center"/>
              <w:textAlignment w:val="baseline"/>
              <w:rPr>
                <w:rFonts w:ascii="Times New Roman" w:hAnsi="Times New Roman"/>
                <w:b/>
                <w:sz w:val="26"/>
                <w:szCs w:val="26"/>
              </w:rPr>
            </w:pPr>
            <w:r>
              <w:rPr>
                <w:rFonts w:ascii="Times New Roman" w:hAnsi="Times New Roman"/>
                <w:b/>
                <w:sz w:val="26"/>
                <w:szCs w:val="26"/>
              </w:rPr>
              <w:t>Дошкольные образовательные организации</w:t>
            </w:r>
          </w:p>
        </w:tc>
        <w:tc>
          <w:tcPr>
            <w:tcW w:w="2942" w:type="dxa"/>
            <w:shd w:val="clear" w:color="auto" w:fill="auto"/>
          </w:tcPr>
          <w:p>
            <w:pPr>
              <w:spacing w:after="0" w:line="240" w:lineRule="auto"/>
              <w:ind w:firstLine="426"/>
              <w:contextualSpacing/>
              <w:jc w:val="center"/>
              <w:textAlignment w:val="baseline"/>
              <w:rPr>
                <w:rFonts w:ascii="Times New Roman" w:hAnsi="Times New Roman"/>
                <w:b/>
                <w:sz w:val="26"/>
                <w:szCs w:val="26"/>
              </w:rPr>
            </w:pPr>
            <w:r>
              <w:rPr>
                <w:rFonts w:ascii="Times New Roman" w:hAnsi="Times New Roman"/>
                <w:b/>
                <w:sz w:val="26"/>
                <w:szCs w:val="26"/>
              </w:rPr>
              <w:t>Общеобразова-тельные организации:</w:t>
            </w:r>
          </w:p>
          <w:p>
            <w:pPr>
              <w:spacing w:after="0" w:line="240" w:lineRule="auto"/>
              <w:contextualSpacing/>
              <w:jc w:val="center"/>
              <w:textAlignment w:val="baseline"/>
              <w:rPr>
                <w:rFonts w:ascii="Times New Roman" w:hAnsi="Times New Roman"/>
                <w:b/>
                <w:sz w:val="26"/>
                <w:szCs w:val="26"/>
              </w:rPr>
            </w:pP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1.</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Выделено ставок врачей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60</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66,5</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2.</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укомплектовано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48,5</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51, 75</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3.</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физические лица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35</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29</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4.</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Процент укомплектованности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81</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77,8</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5.</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Выделено ставок медицинских сестер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386,5</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242,75</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6.</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укомплектовано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273,25</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168,75</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7.</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физические лица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220</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116</w:t>
            </w:r>
          </w:p>
        </w:tc>
      </w:tr>
      <w:tr>
        <w:tc>
          <w:tcPr>
            <w:tcW w:w="588"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8.</w:t>
            </w:r>
          </w:p>
        </w:tc>
        <w:tc>
          <w:tcPr>
            <w:tcW w:w="4056" w:type="dxa"/>
            <w:shd w:val="clear" w:color="auto" w:fill="auto"/>
          </w:tcPr>
          <w:p>
            <w:pPr>
              <w:spacing w:after="0" w:line="240" w:lineRule="auto"/>
              <w:contextualSpacing/>
              <w:jc w:val="both"/>
              <w:textAlignment w:val="baseline"/>
              <w:rPr>
                <w:rFonts w:ascii="Times New Roman" w:hAnsi="Times New Roman"/>
                <w:sz w:val="26"/>
                <w:szCs w:val="26"/>
              </w:rPr>
            </w:pPr>
            <w:r>
              <w:rPr>
                <w:rFonts w:ascii="Times New Roman" w:hAnsi="Times New Roman"/>
                <w:sz w:val="26"/>
                <w:szCs w:val="26"/>
              </w:rPr>
              <w:t xml:space="preserve">Процент укомплектованности </w:t>
            </w:r>
          </w:p>
        </w:tc>
        <w:tc>
          <w:tcPr>
            <w:tcW w:w="255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71</w:t>
            </w:r>
          </w:p>
        </w:tc>
        <w:tc>
          <w:tcPr>
            <w:tcW w:w="2942" w:type="dxa"/>
            <w:shd w:val="clear" w:color="auto" w:fill="auto"/>
          </w:tcPr>
          <w:p>
            <w:pPr>
              <w:spacing w:after="0" w:line="240" w:lineRule="auto"/>
              <w:contextualSpacing/>
              <w:jc w:val="center"/>
              <w:textAlignment w:val="baseline"/>
              <w:rPr>
                <w:rFonts w:ascii="Times New Roman" w:hAnsi="Times New Roman"/>
                <w:sz w:val="26"/>
                <w:szCs w:val="26"/>
              </w:rPr>
            </w:pPr>
            <w:r>
              <w:rPr>
                <w:rFonts w:ascii="Times New Roman" w:hAnsi="Times New Roman"/>
                <w:sz w:val="26"/>
                <w:szCs w:val="26"/>
              </w:rPr>
              <w:t>69,5</w:t>
            </w:r>
          </w:p>
        </w:tc>
      </w:tr>
    </w:tbl>
    <w:p>
      <w:pPr>
        <w:spacing w:after="0" w:line="240" w:lineRule="auto"/>
        <w:ind w:firstLine="426"/>
        <w:contextualSpacing/>
        <w:jc w:val="both"/>
        <w:textAlignment w:val="baseline"/>
        <w:rPr>
          <w:rFonts w:ascii="Times New Roman" w:hAnsi="Times New Roman"/>
          <w:sz w:val="26"/>
          <w:szCs w:val="26"/>
        </w:rPr>
      </w:pP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Работа медицинского персонала в образовательных организациях это конечно не только наблюдение за состоянием здоровья детей, но и врачебный контроль за постановкой физического воспитания, проведением санитарно-просветительской работы среди всех участников образовательного пространства.</w:t>
      </w: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 xml:space="preserve"> Как следствие вышесказанного - важнейшим элементом данной системы является школьный врач, знающий специфику работы в образовательном учреждении. В его функции входит проведение углубленного медицинского осмотра школьников, выявление у них различных заболеваний начиная от обычной простуды и заканчивая такими серьезными, как туберкулез, направление учащихся по показаниям на лабораторные и рентгенологические исследования. Также врач должен контролировать соблюдение карантинов, своевременно проводить дезинфекцию, выявлять причины неявки школьников на занятия. Наконец, он играет важную роль в формировании у учащихся здорового образа жизни.</w:t>
      </w:r>
    </w:p>
    <w:p>
      <w:pPr>
        <w:spacing w:after="0" w:line="360" w:lineRule="auto"/>
        <w:ind w:firstLine="709"/>
        <w:contextualSpacing/>
        <w:jc w:val="both"/>
        <w:rPr>
          <w:rFonts w:ascii="Times New Roman" w:eastAsia="Times New Roman" w:hAnsi="Times New Roman"/>
          <w:sz w:val="26"/>
          <w:szCs w:val="26"/>
          <w:lang w:eastAsia="ru-RU"/>
        </w:rPr>
      </w:pPr>
      <w:r>
        <w:rPr>
          <w:rFonts w:ascii="Times New Roman" w:hAnsi="Times New Roman"/>
          <w:sz w:val="26"/>
          <w:szCs w:val="26"/>
        </w:rPr>
        <w:t>Несмотря на семейное и социальное благополучие,</w:t>
      </w:r>
      <w:r>
        <w:rPr>
          <w:rStyle w:val="10"/>
          <w:rFonts w:eastAsia="Calibri"/>
          <w:sz w:val="26"/>
          <w:szCs w:val="26"/>
        </w:rPr>
        <w:t xml:space="preserve"> </w:t>
      </w:r>
      <w:r>
        <w:rPr>
          <w:rFonts w:ascii="Times New Roman" w:hAnsi="Times New Roman"/>
          <w:sz w:val="26"/>
          <w:szCs w:val="26"/>
        </w:rPr>
        <w:t>дети нуждаются в особом бережном отношении.  Заботу о детях-сиротах и детях, оставшихся без попечения родителей, детях, находящихся в трудной жизненной ситуации, пребывающих в стационарных государственных учреждениях берет на себя государство. Они, как и все дети, имеют право на медицинское обслуживание. Согласно требованиям законодательства в отношении детей-сирот ежегодно проводится диспансеризация, то есть комплекс мероприятий в системе здравоохранения, проводимых с целью выявления и предупреждения развития у детей различных заболеваний.</w:t>
      </w:r>
      <w:r>
        <w:rPr>
          <w:rFonts w:ascii="Times New Roman" w:eastAsia="Times New Roman" w:hAnsi="Times New Roman"/>
          <w:sz w:val="26"/>
          <w:szCs w:val="26"/>
          <w:lang w:eastAsia="ru-RU"/>
        </w:rPr>
        <w:t xml:space="preserve"> В 2018 году 2 088             детей-сирот и детей, оставшихся без попечения родителей или детей, находящихся в трудной жизненной ситуации, пребывающих в стационарных государственных учреждениях, были охвачены медицинскими осмотрами, что составляет 100 % от подлежащих диспансеризации. Аналогичный показатель 2017 года составил 2 290 детей - 100%.</w:t>
      </w:r>
    </w:p>
    <w:p>
      <w:pPr>
        <w:spacing w:after="0" w:line="360" w:lineRule="auto"/>
        <w:ind w:firstLine="709"/>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результате проведения медицинских осмотров детей и диспансеризации выявляется информация о заболеваемости  детей в целом и по возрастным группам, классы заболеваний, имеющие наибольшую распространенность,  потребности в обследовании, лечении и оздоровлении.</w:t>
      </w:r>
    </w:p>
    <w:p>
      <w:pPr>
        <w:spacing w:after="0" w:line="240" w:lineRule="auto"/>
        <w:ind w:firstLine="709"/>
        <w:contextualSpacing/>
        <w:jc w:val="both"/>
        <w:rPr>
          <w:rFonts w:ascii="Times New Roman" w:eastAsia="Times New Roman" w:hAnsi="Times New Roman"/>
          <w:sz w:val="26"/>
          <w:szCs w:val="26"/>
          <w:lang w:eastAsia="ru-RU"/>
        </w:rPr>
      </w:pPr>
    </w:p>
    <w:p>
      <w:pPr>
        <w:spacing w:after="0" w:line="240" w:lineRule="auto"/>
        <w:ind w:firstLine="709"/>
        <w:contextualSpacing/>
        <w:jc w:val="both"/>
        <w:rPr>
          <w:rFonts w:ascii="Times New Roman" w:eastAsia="Times New Roman" w:hAnsi="Times New Roman"/>
          <w:sz w:val="26"/>
          <w:szCs w:val="26"/>
          <w:lang w:eastAsia="ru-RU"/>
        </w:rPr>
      </w:pPr>
    </w:p>
    <w:p>
      <w:pPr>
        <w:spacing w:after="0" w:line="240" w:lineRule="auto"/>
        <w:ind w:firstLine="709"/>
        <w:contextualSpacing/>
        <w:jc w:val="both"/>
        <w:rPr>
          <w:rFonts w:ascii="Times New Roman" w:eastAsia="Times New Roman" w:hAnsi="Times New Roman"/>
          <w:sz w:val="26"/>
          <w:szCs w:val="26"/>
          <w:lang w:eastAsia="ru-RU"/>
        </w:rPr>
      </w:pPr>
    </w:p>
    <w:p>
      <w:pPr>
        <w:spacing w:after="0" w:line="240" w:lineRule="auto"/>
        <w:ind w:firstLine="709"/>
        <w:contextualSpacing/>
        <w:jc w:val="both"/>
        <w:rPr>
          <w:rFonts w:ascii="Times New Roman" w:eastAsia="Times New Roman" w:hAnsi="Times New Roman"/>
          <w:sz w:val="26"/>
          <w:szCs w:val="26"/>
          <w:lang w:eastAsia="ru-RU"/>
        </w:rPr>
      </w:pPr>
    </w:p>
    <w:p>
      <w:pPr>
        <w:spacing w:after="0" w:line="240" w:lineRule="auto"/>
        <w:ind w:firstLine="709"/>
        <w:contextualSpacing/>
        <w:jc w:val="right"/>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Таблица № 11</w:t>
      </w:r>
    </w:p>
    <w:p>
      <w:pPr>
        <w:spacing w:after="0" w:line="240" w:lineRule="auto"/>
        <w:contextualSpacing/>
        <w:jc w:val="center"/>
        <w:outlineLvl w:val="0"/>
        <w:rPr>
          <w:rFonts w:ascii="Times New Roman" w:eastAsia="Times New Roman" w:hAnsi="Times New Roman"/>
          <w:b/>
          <w:sz w:val="26"/>
          <w:szCs w:val="26"/>
          <w:lang w:eastAsia="ru-RU"/>
        </w:rPr>
      </w:pPr>
    </w:p>
    <w:p>
      <w:pPr>
        <w:spacing w:after="0" w:line="240" w:lineRule="auto"/>
        <w:contextualSpacing/>
        <w:jc w:val="center"/>
        <w:outlineLvl w:val="0"/>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Диспансеризация несовершеннолетних </w:t>
      </w:r>
    </w:p>
    <w:p>
      <w:pPr>
        <w:spacing w:after="0" w:line="240" w:lineRule="auto"/>
        <w:contextualSpacing/>
        <w:jc w:val="center"/>
        <w:outlineLvl w:val="0"/>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из числа детей-сирот</w:t>
      </w:r>
    </w:p>
    <w:p>
      <w:pPr>
        <w:spacing w:after="0" w:line="240" w:lineRule="auto"/>
        <w:contextualSpacing/>
        <w:jc w:val="center"/>
        <w:outlineLvl w:val="0"/>
        <w:rPr>
          <w:rFonts w:ascii="Times New Roman" w:eastAsia="Times New Roman" w:hAnsi="Times New Roman"/>
          <w:b/>
          <w:sz w:val="26"/>
          <w:szCs w:val="26"/>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4490"/>
        <w:gridCol w:w="1229"/>
        <w:gridCol w:w="518"/>
        <w:gridCol w:w="709"/>
        <w:gridCol w:w="30"/>
        <w:gridCol w:w="962"/>
        <w:gridCol w:w="268"/>
        <w:gridCol w:w="441"/>
        <w:gridCol w:w="1149"/>
      </w:tblGrid>
      <w:tr>
        <w:tc>
          <w:tcPr>
            <w:tcW w:w="392" w:type="dxa"/>
            <w:vMerge w:val="restart"/>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w:t>
            </w:r>
          </w:p>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п/п</w:t>
            </w:r>
          </w:p>
        </w:tc>
        <w:tc>
          <w:tcPr>
            <w:tcW w:w="6237" w:type="dxa"/>
            <w:gridSpan w:val="3"/>
            <w:vMerge w:val="restart"/>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Показатели</w:t>
            </w:r>
          </w:p>
        </w:tc>
        <w:tc>
          <w:tcPr>
            <w:tcW w:w="1701" w:type="dxa"/>
            <w:gridSpan w:val="3"/>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2017 год</w:t>
            </w:r>
          </w:p>
        </w:tc>
        <w:tc>
          <w:tcPr>
            <w:tcW w:w="1858" w:type="dxa"/>
            <w:gridSpan w:val="3"/>
          </w:tcPr>
          <w:p>
            <w:pPr>
              <w:spacing w:after="0" w:line="240" w:lineRule="auto"/>
              <w:contextualSpacing/>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2018 год</w:t>
            </w:r>
          </w:p>
        </w:tc>
      </w:tr>
      <w:tr>
        <w:tc>
          <w:tcPr>
            <w:tcW w:w="392" w:type="dxa"/>
            <w:vMerge/>
          </w:tcPr>
          <w:p>
            <w:pPr>
              <w:spacing w:after="0" w:line="240" w:lineRule="auto"/>
              <w:contextualSpacing/>
              <w:jc w:val="center"/>
              <w:rPr>
                <w:rFonts w:ascii="Times New Roman" w:eastAsia="Times New Roman" w:hAnsi="Times New Roman"/>
                <w:sz w:val="26"/>
                <w:szCs w:val="26"/>
                <w:lang w:eastAsia="ru-RU"/>
              </w:rPr>
            </w:pPr>
          </w:p>
        </w:tc>
        <w:tc>
          <w:tcPr>
            <w:tcW w:w="6237" w:type="dxa"/>
            <w:gridSpan w:val="3"/>
            <w:vMerge/>
          </w:tcPr>
          <w:p>
            <w:pPr>
              <w:spacing w:after="0" w:line="240" w:lineRule="auto"/>
              <w:contextualSpacing/>
              <w:jc w:val="center"/>
              <w:rPr>
                <w:rFonts w:ascii="Times New Roman" w:eastAsia="Times New Roman" w:hAnsi="Times New Roman"/>
                <w:sz w:val="26"/>
                <w:szCs w:val="26"/>
                <w:lang w:eastAsia="ru-RU"/>
              </w:rPr>
            </w:pPr>
          </w:p>
        </w:tc>
        <w:tc>
          <w:tcPr>
            <w:tcW w:w="70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Чел.</w:t>
            </w:r>
          </w:p>
        </w:tc>
        <w:tc>
          <w:tcPr>
            <w:tcW w:w="992"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p>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охвата</w:t>
            </w:r>
          </w:p>
        </w:tc>
        <w:tc>
          <w:tcPr>
            <w:tcW w:w="709"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Чел.</w:t>
            </w:r>
          </w:p>
        </w:tc>
        <w:tc>
          <w:tcPr>
            <w:tcW w:w="114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p>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охвата</w:t>
            </w:r>
          </w:p>
        </w:tc>
      </w:tr>
      <w:tr>
        <w:trPr>
          <w:trHeight w:val="1373"/>
        </w:trP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6237" w:type="dxa"/>
            <w:gridSpan w:val="3"/>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Число детей, школьного возраста из числа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70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1942</w:t>
            </w:r>
          </w:p>
        </w:tc>
        <w:tc>
          <w:tcPr>
            <w:tcW w:w="992"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c>
          <w:tcPr>
            <w:tcW w:w="709"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1785</w:t>
            </w:r>
          </w:p>
        </w:tc>
        <w:tc>
          <w:tcPr>
            <w:tcW w:w="114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r>
      <w:tr>
        <w:trPr>
          <w:trHeight w:val="795"/>
        </w:trP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p>
        </w:tc>
        <w:tc>
          <w:tcPr>
            <w:tcW w:w="6237" w:type="dxa"/>
            <w:gridSpan w:val="3"/>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Число детей, школьного возраста из числа детей-сирот и детей, оставшихся без попечения родителей или находящихся в трудной жизненной ситуации, находящихся в семьях и прошедших диспансеризацию</w:t>
            </w:r>
          </w:p>
          <w:p>
            <w:pPr>
              <w:spacing w:after="0" w:line="240" w:lineRule="auto"/>
              <w:contextualSpacing/>
              <w:jc w:val="both"/>
              <w:rPr>
                <w:rFonts w:ascii="Times New Roman" w:eastAsia="Times New Roman" w:hAnsi="Times New Roman"/>
                <w:sz w:val="26"/>
                <w:szCs w:val="26"/>
                <w:lang w:eastAsia="ru-RU"/>
              </w:rPr>
            </w:pPr>
          </w:p>
        </w:tc>
        <w:tc>
          <w:tcPr>
            <w:tcW w:w="70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1698</w:t>
            </w:r>
          </w:p>
        </w:tc>
        <w:tc>
          <w:tcPr>
            <w:tcW w:w="992"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c>
          <w:tcPr>
            <w:tcW w:w="709"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1836</w:t>
            </w:r>
          </w:p>
        </w:tc>
        <w:tc>
          <w:tcPr>
            <w:tcW w:w="114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6237" w:type="dxa"/>
            <w:gridSpan w:val="3"/>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Число детей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70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2290</w:t>
            </w:r>
          </w:p>
        </w:tc>
        <w:tc>
          <w:tcPr>
            <w:tcW w:w="992"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c>
          <w:tcPr>
            <w:tcW w:w="709"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2088</w:t>
            </w:r>
          </w:p>
        </w:tc>
        <w:tc>
          <w:tcPr>
            <w:tcW w:w="114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100</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796" w:type="dxa"/>
            <w:gridSpan w:val="9"/>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Распределение детей по группам здоровья после диспансеризации</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 (3,6%)</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96 (4,6%)</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936 (40,9%)</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825(39,5%)</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III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741 (32,4%)</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675 (32,3%)</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IV</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48 (2,1%)</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68 (3,3%)</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V</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482 (21%)</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424 (20,3%)</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4490"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229" w:type="dxa"/>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1986</w:t>
            </w:r>
          </w:p>
        </w:tc>
        <w:tc>
          <w:tcPr>
            <w:tcW w:w="1257" w:type="dxa"/>
            <w:gridSpan w:val="3"/>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w:t>
            </w:r>
          </w:p>
        </w:tc>
        <w:tc>
          <w:tcPr>
            <w:tcW w:w="1230"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2128</w:t>
            </w:r>
          </w:p>
        </w:tc>
        <w:tc>
          <w:tcPr>
            <w:tcW w:w="1590" w:type="dxa"/>
            <w:gridSpan w:val="2"/>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105</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796" w:type="dxa"/>
            <w:gridSpan w:val="9"/>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Распределение детей по группам здоровья после диспансеризации</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12.</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471 (23,7%)</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404 (19%)</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13.</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1074 (54,1%)</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1184 (55,6%)</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III</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374 (18,8%)</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439 (20,6%)</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15.</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IV</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 (0,5%)</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27 (1,3%)</w:t>
            </w:r>
          </w:p>
        </w:tc>
      </w:tr>
      <w:tr>
        <w:tc>
          <w:tcPr>
            <w:tcW w:w="392" w:type="dxa"/>
          </w:tcPr>
          <w:p>
            <w:pPr>
              <w:spacing w:after="0" w:line="240" w:lineRule="auto"/>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4490" w:type="dxa"/>
          </w:tcPr>
          <w:p>
            <w:pPr>
              <w:spacing w:after="0" w:line="240" w:lineRule="auto"/>
              <w:contextualSpacing/>
              <w:jc w:val="both"/>
              <w:rPr>
                <w:rFonts w:ascii="Times New Roman" w:eastAsia="Times New Roman" w:hAnsi="Times New Roman"/>
                <w:sz w:val="26"/>
                <w:szCs w:val="26"/>
                <w:lang w:val="en-US" w:eastAsia="ru-RU"/>
              </w:rPr>
            </w:pPr>
            <w:r>
              <w:rPr>
                <w:rFonts w:ascii="Times New Roman" w:eastAsia="Times New Roman" w:hAnsi="Times New Roman"/>
                <w:sz w:val="26"/>
                <w:szCs w:val="26"/>
                <w:lang w:val="en-US" w:eastAsia="ru-RU"/>
              </w:rPr>
              <w:t>V</w:t>
            </w:r>
          </w:p>
        </w:tc>
        <w:tc>
          <w:tcPr>
            <w:tcW w:w="2486"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57 (2,9%)</w:t>
            </w:r>
          </w:p>
        </w:tc>
        <w:tc>
          <w:tcPr>
            <w:tcW w:w="2820" w:type="dxa"/>
            <w:gridSpan w:val="4"/>
          </w:tcPr>
          <w:p>
            <w:pPr>
              <w:spacing w:after="0" w:line="240" w:lineRule="auto"/>
              <w:contextualSpacing/>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74 (3,5%)</w:t>
            </w:r>
          </w:p>
        </w:tc>
      </w:tr>
    </w:tbl>
    <w:p>
      <w:pPr>
        <w:spacing w:after="0" w:line="240" w:lineRule="auto"/>
        <w:ind w:firstLine="709"/>
        <w:contextualSpacing/>
        <w:jc w:val="both"/>
        <w:rPr>
          <w:rFonts w:ascii="Times New Roman" w:hAnsi="Times New Roman"/>
          <w:sz w:val="26"/>
          <w:szCs w:val="26"/>
        </w:rPr>
      </w:pP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На территории Калужской области Уполномоченным был проведен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 за 2017 год.</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Сотрудники аппарата Уполномоченного осуществили выезды в следующие учреждения:</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 ГКУ КО «Азаровский Детский Дом имени Попова В.Т»;</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 ГБУ КО «Центр содействия семейному воспитанию берега» г. Кондрово;</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 ГКОУ КО «Людиновская школа-интернат для детей-сирот и детей, оставшихся без попечения родителей, с ограниченными возможностями здоровья»;</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 ГКОУ КО «Бетлицкая школа-интернат для детей-сирот и детей, оставшихся без попечения родителей, с ОВЗ».</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В посещенных учреждениях были выборочно проверены медицинские карты воспитанников. В предоставленных документах, объем обследований, проведенных в рамках диспансеризации, соответствовал установленным требованиям.</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Полнота и своевременность исполнения рекомендаций специалистов, проводивших диспансеризацию детей-сирот и детей, оставшихся без попечения родителей, находящихся в стационарных учреждениях, наблюдалась к сожалению не во всех организациях.</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По информации специалистов учреждений, выявленные нарушения  по проведению повторных обследований, анализов, консультаций специалистов (профильных) либо просто игнорировались, либо не исполнялись по следующим причинам:</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нехватка узкопрофильных специалистов в поликлиниках;</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невозможность проведения электронной записи к специалистам на всех детей, которым это необходимо;</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при использовании электронной записи к специалисту зачастую сроки проведения консультации переносятся на несколько недель или даже месяцев;</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невозможность вывоза детей в медицинской учреждение (даже при наличии электронной записи) т.к. случилась поломка автомобиля, доставляющего детей, отсутствие специального транспорта. В таком случае консультация может быть произведена только после получения нового электронного талона;</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xml:space="preserve">- в назначениях прописаны исследования, которые проводятся только на платной основе. </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xml:space="preserve">Также были выявлены случаи противоречивых рекомендаций, например: окулист выписывает ребенку очки, а психиатр запрещает в связи с поставленным диагнозом. </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В связи с этим стоит обратить внимание на усиление ведомственного контроля за соблюдением порядка, сроков и результатов диспансеризации детей-сирот.</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В Калужской области ведется работа по улучшению оказываемой медицинской помощи населению, в том числе и детскому.</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До 2020 года в области планируется дооснастить современным медицинским оборудованием 95% детских поликлинических отделений, обеспечить в них более комфортные условия пребывания пациентов, увеличить число детей, посетивших медицинские учреждения с целью профилактики и амбулаторного лечения.</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В регионе ведется усиленная работа по сокращению дефицита медицинских кадров (таблица № 12).</w:t>
      </w:r>
    </w:p>
    <w:p>
      <w:pPr>
        <w:tabs>
          <w:tab w:val="left" w:pos="7830"/>
        </w:tabs>
        <w:spacing w:after="0" w:line="360" w:lineRule="auto"/>
        <w:ind w:firstLine="709"/>
        <w:contextualSpacing/>
        <w:jc w:val="both"/>
        <w:rPr>
          <w:rFonts w:ascii="Times New Roman" w:eastAsia="Times New Roman" w:hAnsi="Times New Roman"/>
          <w:bCs/>
          <w:sz w:val="26"/>
          <w:szCs w:val="26"/>
        </w:rPr>
      </w:pPr>
      <w:r>
        <w:rPr>
          <w:rFonts w:ascii="Times New Roman" w:hAnsi="Times New Roman"/>
          <w:sz w:val="26"/>
          <w:szCs w:val="26"/>
        </w:rPr>
        <w:t>А</w:t>
      </w:r>
      <w:r>
        <w:rPr>
          <w:rFonts w:ascii="Times New Roman" w:eastAsia="Times New Roman" w:hAnsi="Times New Roman"/>
          <w:bCs/>
          <w:sz w:val="26"/>
          <w:szCs w:val="26"/>
        </w:rPr>
        <w:t>ктивно ведется работа по реализации программы «Земский доктор». Студенты-медики получают образование в вузах Москвы и Смоленска, Калуги и Обнинска по целевым направлениям и после окончания обучения возвращаются на работу в районные медицинские учреждения. Правительство Калужской области «целевикам», трудоустроившимся в регионе, оплачивает найм жилья, часть процентной ставки по ипотечному кредиту, медработникам в сельской местности компенсируются расходы на оплату коммунальных услуг, специалисты в возрасте до 30 лет получают надбавки к окладу. Законом Калужской области от 04.02.2005 № 25-ОЗ «О молодом специалисте Калужской области» установлены доплаты, сумма которых зависит от года работы и населенного пункта.</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Несмотря на имеющиеся сложности, такие задачи как строительство новых объектов медицинского назначения, оснащение и переоснащение современной техникой,  оборудованием  и  технологиями,  кадровое  обеспечения медучреждений  квалифицированными сотрудниками и создание  условий  для  работы  всегда успешно решались Губернатором Калужской области и региональным Правительством.</w:t>
      </w:r>
      <w:r>
        <w:rPr>
          <w:rFonts w:ascii="Times New Roman" w:hAnsi="Times New Roman"/>
          <w:b/>
          <w:i/>
          <w:sz w:val="26"/>
          <w:szCs w:val="26"/>
        </w:rPr>
        <w:t xml:space="preserve"> </w:t>
      </w:r>
      <w:r>
        <w:rPr>
          <w:rFonts w:ascii="Times New Roman" w:hAnsi="Times New Roman"/>
          <w:sz w:val="26"/>
          <w:szCs w:val="26"/>
        </w:rPr>
        <w:t xml:space="preserve">Также проводится непрерывное профессиональное обучение медицинских работников, что способствует улучшению качества оказываемой медицинской помощи. </w:t>
      </w:r>
    </w:p>
    <w:p>
      <w:pPr>
        <w:tabs>
          <w:tab w:val="left" w:pos="7830"/>
        </w:tabs>
        <w:spacing w:after="0" w:line="240" w:lineRule="auto"/>
        <w:ind w:firstLine="709"/>
        <w:contextualSpacing/>
        <w:jc w:val="both"/>
        <w:rPr>
          <w:rFonts w:ascii="Times New Roman" w:eastAsia="Times New Roman" w:hAnsi="Times New Roman"/>
          <w:bCs/>
          <w:sz w:val="26"/>
          <w:szCs w:val="26"/>
        </w:rPr>
      </w:pPr>
    </w:p>
    <w:p>
      <w:pPr>
        <w:tabs>
          <w:tab w:val="left" w:pos="7830"/>
        </w:tabs>
        <w:spacing w:after="0" w:line="240" w:lineRule="auto"/>
        <w:contextualSpacing/>
        <w:jc w:val="right"/>
        <w:rPr>
          <w:rFonts w:ascii="Times New Roman" w:eastAsia="Times New Roman" w:hAnsi="Times New Roman"/>
          <w:b/>
          <w:bCs/>
          <w:i/>
          <w:sz w:val="26"/>
          <w:szCs w:val="26"/>
        </w:rPr>
      </w:pPr>
      <w:r>
        <w:rPr>
          <w:rFonts w:ascii="Times New Roman" w:eastAsia="Times New Roman" w:hAnsi="Times New Roman"/>
          <w:b/>
          <w:bCs/>
          <w:i/>
          <w:sz w:val="26"/>
          <w:szCs w:val="26"/>
        </w:rPr>
        <w:t>Таблица № 12</w:t>
      </w:r>
    </w:p>
    <w:p>
      <w:pPr>
        <w:tabs>
          <w:tab w:val="left" w:pos="7830"/>
        </w:tabs>
        <w:spacing w:after="0" w:line="240" w:lineRule="auto"/>
        <w:contextualSpacing/>
        <w:jc w:val="center"/>
        <w:rPr>
          <w:rFonts w:ascii="Times New Roman" w:eastAsia="Times New Roman" w:hAnsi="Times New Roman"/>
          <w:bCs/>
          <w:sz w:val="26"/>
          <w:szCs w:val="26"/>
        </w:rPr>
      </w:pPr>
    </w:p>
    <w:p>
      <w:pPr>
        <w:tabs>
          <w:tab w:val="left" w:pos="7830"/>
        </w:tabs>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Сведения об укомплектованности региона</w:t>
      </w:r>
    </w:p>
    <w:p>
      <w:pPr>
        <w:tabs>
          <w:tab w:val="left" w:pos="7830"/>
        </w:tabs>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 xml:space="preserve"> узкопрофильными специалистами</w:t>
      </w:r>
    </w:p>
    <w:p>
      <w:pPr>
        <w:tabs>
          <w:tab w:val="left" w:pos="7830"/>
        </w:tabs>
        <w:spacing w:after="0" w:line="240" w:lineRule="auto"/>
        <w:contextualSpacing/>
        <w:jc w:val="center"/>
        <w:rPr>
          <w:rFonts w:ascii="Times New Roman" w:eastAsia="Times New Roman" w:hAnsi="Times New Roman"/>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254"/>
        <w:gridCol w:w="2828"/>
      </w:tblGrid>
      <w:tr>
        <w:tc>
          <w:tcPr>
            <w:tcW w:w="851" w:type="dxa"/>
          </w:tcPr>
          <w:p>
            <w:pPr>
              <w:autoSpaceDE w:val="0"/>
              <w:autoSpaceDN w:val="0"/>
              <w:adjustRightInd w:val="0"/>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w:t>
            </w:r>
          </w:p>
          <w:p>
            <w:pPr>
              <w:autoSpaceDE w:val="0"/>
              <w:autoSpaceDN w:val="0"/>
              <w:adjustRightInd w:val="0"/>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п/п</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Врачи-специалисты</w:t>
            </w:r>
          </w:p>
          <w:p>
            <w:pPr>
              <w:autoSpaceDE w:val="0"/>
              <w:autoSpaceDN w:val="0"/>
              <w:adjustRightInd w:val="0"/>
              <w:spacing w:after="0" w:line="240" w:lineRule="auto"/>
              <w:contextualSpacing/>
              <w:jc w:val="center"/>
              <w:rPr>
                <w:rFonts w:ascii="Times New Roman" w:eastAsia="Times New Roman" w:hAnsi="Times New Roman"/>
                <w:b/>
                <w:bCs/>
                <w:sz w:val="26"/>
                <w:szCs w:val="26"/>
              </w:rPr>
            </w:pP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
                <w:bCs/>
                <w:sz w:val="26"/>
                <w:szCs w:val="26"/>
              </w:rPr>
            </w:pPr>
            <w:r>
              <w:rPr>
                <w:rFonts w:ascii="Times New Roman" w:eastAsia="Times New Roman" w:hAnsi="Times New Roman"/>
                <w:b/>
                <w:bCs/>
                <w:sz w:val="26"/>
                <w:szCs w:val="26"/>
              </w:rPr>
              <w:t>Укомплектованность, %</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Акушер-гинеколог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66</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2.</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Аллерголог-иммунолог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77</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3.</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Гастроэнтеролог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4.</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Гематолог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77</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5.</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Кардиолог - детский</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59</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6.</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Невролог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82</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7.</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Нейрохирург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Неонатолог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81</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9.</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Нефролог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56</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Онколог детский</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17</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11.</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Оториноларинголог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84</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12.</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Офтальмолог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87</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13.</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Пульмонолог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87</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14.</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Ревматолог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15.</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Сурдолог-оториноларинголог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80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16.</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Врач ультразвуковой диагностики</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17.</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Травматолог-ортопед</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18.</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Уролог-андролог</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60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19.</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Хирург-детский</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94</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20.</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Эндоскопист</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21.</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Врач функциональной диагностики</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r>
        <w:tc>
          <w:tcPr>
            <w:tcW w:w="851" w:type="dxa"/>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22.</w:t>
            </w:r>
          </w:p>
        </w:tc>
        <w:tc>
          <w:tcPr>
            <w:tcW w:w="6254"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Физиотерапевт</w:t>
            </w:r>
          </w:p>
        </w:tc>
        <w:tc>
          <w:tcPr>
            <w:tcW w:w="2828" w:type="dxa"/>
            <w:shd w:val="clear" w:color="auto" w:fill="auto"/>
          </w:tcPr>
          <w:p>
            <w:pPr>
              <w:autoSpaceDE w:val="0"/>
              <w:autoSpaceDN w:val="0"/>
              <w:adjustRightInd w:val="0"/>
              <w:spacing w:after="0" w:line="240" w:lineRule="auto"/>
              <w:contextualSpacing/>
              <w:jc w:val="center"/>
              <w:rPr>
                <w:rFonts w:ascii="Times New Roman" w:eastAsia="Times New Roman" w:hAnsi="Times New Roman"/>
                <w:bCs/>
                <w:sz w:val="26"/>
                <w:szCs w:val="26"/>
              </w:rPr>
            </w:pPr>
            <w:r>
              <w:rPr>
                <w:rFonts w:ascii="Times New Roman" w:eastAsia="Times New Roman" w:hAnsi="Times New Roman"/>
                <w:bCs/>
                <w:sz w:val="26"/>
                <w:szCs w:val="26"/>
              </w:rPr>
              <w:t>100</w:t>
            </w:r>
          </w:p>
        </w:tc>
      </w:tr>
    </w:tbl>
    <w:p>
      <w:pPr>
        <w:tabs>
          <w:tab w:val="left" w:pos="7830"/>
        </w:tabs>
        <w:spacing w:after="0" w:line="24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 xml:space="preserve">Всего, за 2018 год к Уполномоченному поступило 48 обращений. Большая часть из них: об оказании содействия в лечении - 11, об отказе от проведения вакцинирования - 11, о предоставлении санаторно-курортного лечения - 7. </w:t>
      </w:r>
    </w:p>
    <w:p>
      <w:pPr>
        <w:tabs>
          <w:tab w:val="left" w:pos="7830"/>
        </w:tabs>
        <w:spacing w:after="0" w:line="240" w:lineRule="auto"/>
        <w:ind w:firstLine="709"/>
        <w:contextualSpacing/>
        <w:jc w:val="both"/>
        <w:rPr>
          <w:rFonts w:ascii="Times New Roman" w:hAnsi="Times New Roman"/>
          <w:b/>
          <w:i/>
          <w:sz w:val="26"/>
          <w:szCs w:val="26"/>
        </w:rPr>
      </w:pPr>
    </w:p>
    <w:p>
      <w:pPr>
        <w:tabs>
          <w:tab w:val="left" w:pos="7830"/>
        </w:tabs>
        <w:spacing w:after="0" w:line="240" w:lineRule="auto"/>
        <w:ind w:firstLine="709"/>
        <w:contextualSpacing/>
        <w:jc w:val="right"/>
        <w:rPr>
          <w:rFonts w:ascii="Times New Roman" w:hAnsi="Times New Roman"/>
          <w:b/>
          <w:i/>
          <w:sz w:val="26"/>
          <w:szCs w:val="26"/>
        </w:rPr>
      </w:pPr>
      <w:r>
        <w:rPr>
          <w:rFonts w:ascii="Times New Roman" w:hAnsi="Times New Roman"/>
          <w:b/>
          <w:i/>
          <w:sz w:val="26"/>
          <w:szCs w:val="26"/>
        </w:rPr>
        <w:t>Таблица № 13</w:t>
      </w:r>
    </w:p>
    <w:p>
      <w:pPr>
        <w:tabs>
          <w:tab w:val="left" w:pos="7830"/>
        </w:tabs>
        <w:spacing w:after="0" w:line="360" w:lineRule="auto"/>
        <w:ind w:firstLine="709"/>
        <w:contextualSpacing/>
        <w:jc w:val="both"/>
        <w:rPr>
          <w:rFonts w:ascii="Times New Roman" w:hAnsi="Times New Roman"/>
          <w:sz w:val="26"/>
          <w:szCs w:val="26"/>
        </w:rPr>
      </w:pPr>
    </w:p>
    <w:p>
      <w:pPr>
        <w:tabs>
          <w:tab w:val="left" w:pos="7830"/>
        </w:tabs>
        <w:spacing w:after="0" w:line="240" w:lineRule="auto"/>
        <w:ind w:firstLine="709"/>
        <w:contextualSpacing/>
        <w:jc w:val="center"/>
        <w:rPr>
          <w:rFonts w:ascii="Times New Roman" w:hAnsi="Times New Roman"/>
          <w:b/>
          <w:sz w:val="26"/>
          <w:szCs w:val="26"/>
        </w:rPr>
      </w:pPr>
      <w:r>
        <w:rPr>
          <w:rFonts w:ascii="Times New Roman" w:hAnsi="Times New Roman"/>
          <w:b/>
          <w:sz w:val="26"/>
          <w:szCs w:val="26"/>
        </w:rPr>
        <w:t>Статистика обращений к Уполномоченному</w:t>
      </w:r>
    </w:p>
    <w:p>
      <w:pPr>
        <w:tabs>
          <w:tab w:val="left" w:pos="7830"/>
        </w:tabs>
        <w:spacing w:after="0" w:line="240" w:lineRule="auto"/>
        <w:ind w:firstLine="709"/>
        <w:contextualSpacing/>
        <w:jc w:val="center"/>
        <w:rPr>
          <w:rFonts w:ascii="Times New Roman" w:hAnsi="Times New Roman"/>
          <w:b/>
          <w:sz w:val="26"/>
          <w:szCs w:val="26"/>
        </w:rPr>
      </w:pPr>
    </w:p>
    <w:tbl>
      <w:tblPr>
        <w:tblW w:w="10065" w:type="dxa"/>
        <w:tblInd w:w="93" w:type="dxa"/>
        <w:tblLook w:val="04A0" w:firstRow="1" w:lastRow="0" w:firstColumn="1" w:lastColumn="0" w:noHBand="0" w:noVBand="1"/>
      </w:tblPr>
      <w:tblGrid>
        <w:gridCol w:w="757"/>
        <w:gridCol w:w="4078"/>
        <w:gridCol w:w="1701"/>
        <w:gridCol w:w="1701"/>
        <w:gridCol w:w="1828"/>
      </w:tblGrid>
      <w:tr>
        <w:trPr>
          <w:trHeight w:val="315"/>
        </w:trPr>
        <w:tc>
          <w:tcPr>
            <w:tcW w:w="757" w:type="dxa"/>
            <w:tcBorders>
              <w:top w:val="single" w:sz="4" w:space="0" w:color="auto"/>
              <w:left w:val="single" w:sz="4" w:space="0" w:color="auto"/>
              <w:bottom w:val="single" w:sz="4" w:space="0" w:color="auto"/>
              <w:right w:val="single" w:sz="4" w:space="0" w:color="auto"/>
            </w:tcBorders>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 п/п</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bottom"/>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Категория обращений</w:t>
            </w:r>
          </w:p>
        </w:tc>
        <w:tc>
          <w:tcPr>
            <w:tcW w:w="1701"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ind w:firstLine="62"/>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Количество обращений </w:t>
            </w:r>
          </w:p>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Calibri" w:hAnsi="Times New Roman" w:cs="Times New Roman"/>
                <w:b/>
                <w:sz w:val="26"/>
                <w:szCs w:val="26"/>
              </w:rPr>
              <w:t>в 2017 году</w:t>
            </w:r>
          </w:p>
        </w:tc>
        <w:tc>
          <w:tcPr>
            <w:tcW w:w="1701"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ind w:firstLine="62"/>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Количество обращений </w:t>
            </w:r>
          </w:p>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Calibri" w:hAnsi="Times New Roman" w:cs="Times New Roman"/>
                <w:b/>
                <w:sz w:val="26"/>
                <w:szCs w:val="26"/>
              </w:rPr>
              <w:t>в 2018 году</w:t>
            </w:r>
          </w:p>
        </w:tc>
        <w:tc>
          <w:tcPr>
            <w:tcW w:w="1828" w:type="dxa"/>
            <w:tcBorders>
              <w:top w:val="single" w:sz="4" w:space="0" w:color="auto"/>
              <w:left w:val="nil"/>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Динамика поступления обращений</w:t>
            </w:r>
          </w:p>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Calibri" w:hAnsi="Times New Roman" w:cs="Times New Roman"/>
                <w:b/>
                <w:sz w:val="26"/>
                <w:szCs w:val="26"/>
              </w:rPr>
              <w:t>+/- %</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Недолжное оказание медицинской помощи</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2</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5</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+ 150</w:t>
            </w:r>
          </w:p>
        </w:tc>
      </w:tr>
      <w:tr>
        <w:trPr>
          <w:trHeight w:val="630"/>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2.</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Предоставление лекарственных средств и препаратов, молочная кухня</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2</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5</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+ 150</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3.</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Инвалидность</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4</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3</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- 25</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4.</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Санаторно-курортное лечение</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8</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7</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- 12,5</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5.</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Отказ в медпомощи</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6.</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Сеть здравоохранения</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7.</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Содействие в лечении</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4</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11</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+ 175</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8.</w:t>
            </w:r>
          </w:p>
        </w:tc>
        <w:tc>
          <w:tcPr>
            <w:tcW w:w="4078"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Проведение диспансеризации</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0</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9.</w:t>
            </w:r>
          </w:p>
        </w:tc>
        <w:tc>
          <w:tcPr>
            <w:tcW w:w="4078" w:type="dxa"/>
            <w:tcBorders>
              <w:top w:val="nil"/>
              <w:left w:val="single" w:sz="4" w:space="0" w:color="auto"/>
              <w:bottom w:val="single" w:sz="4" w:space="0" w:color="auto"/>
              <w:right w:val="single" w:sz="4" w:space="0" w:color="auto"/>
            </w:tcBorders>
            <w:shd w:val="clear" w:color="auto" w:fill="auto"/>
            <w:vAlign w:val="center"/>
          </w:tcPr>
          <w:p>
            <w:pPr>
              <w:spacing w:after="0" w:line="240" w:lineRule="auto"/>
              <w:contextualSpacing/>
              <w:outlineLvl w:val="0"/>
              <w:rPr>
                <w:rFonts w:ascii="Times New Roman" w:hAnsi="Times New Roman"/>
                <w:sz w:val="26"/>
                <w:szCs w:val="26"/>
              </w:rPr>
            </w:pPr>
            <w:r>
              <w:rPr>
                <w:rFonts w:ascii="Times New Roman" w:hAnsi="Times New Roman"/>
                <w:sz w:val="26"/>
                <w:szCs w:val="26"/>
              </w:rPr>
              <w:t>Отказ от проведения вакцинирования</w:t>
            </w:r>
          </w:p>
        </w:tc>
        <w:tc>
          <w:tcPr>
            <w:tcW w:w="1701" w:type="dxa"/>
            <w:tcBorders>
              <w:top w:val="nil"/>
              <w:left w:val="nil"/>
              <w:bottom w:val="single" w:sz="4" w:space="0" w:color="auto"/>
              <w:right w:val="single" w:sz="4" w:space="0" w:color="auto"/>
            </w:tcBorders>
            <w:shd w:val="clear" w:color="auto" w:fill="auto"/>
            <w:vAlign w:val="center"/>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11</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+ 1000</w:t>
            </w:r>
          </w:p>
        </w:tc>
      </w:tr>
      <w:tr>
        <w:trPr>
          <w:trHeight w:val="315"/>
        </w:trPr>
        <w:tc>
          <w:tcPr>
            <w:tcW w:w="757" w:type="dxa"/>
            <w:tcBorders>
              <w:top w:val="nil"/>
              <w:left w:val="single" w:sz="4" w:space="0" w:color="auto"/>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10.</w:t>
            </w:r>
          </w:p>
        </w:tc>
        <w:tc>
          <w:tcPr>
            <w:tcW w:w="4078" w:type="dxa"/>
            <w:tcBorders>
              <w:top w:val="nil"/>
              <w:left w:val="single" w:sz="4" w:space="0" w:color="auto"/>
              <w:bottom w:val="single" w:sz="4" w:space="0" w:color="auto"/>
              <w:right w:val="single" w:sz="4" w:space="0" w:color="auto"/>
            </w:tcBorders>
            <w:shd w:val="clear" w:color="auto" w:fill="auto"/>
            <w:vAlign w:val="center"/>
          </w:tcPr>
          <w:p>
            <w:pPr>
              <w:spacing w:after="0" w:line="240" w:lineRule="auto"/>
              <w:contextualSpacing/>
              <w:outlineLvl w:val="0"/>
              <w:rPr>
                <w:rFonts w:ascii="Times New Roman" w:hAnsi="Times New Roman"/>
                <w:sz w:val="26"/>
                <w:szCs w:val="26"/>
              </w:rPr>
            </w:pPr>
            <w:r>
              <w:rPr>
                <w:rFonts w:ascii="Times New Roman" w:hAnsi="Times New Roman"/>
                <w:sz w:val="26"/>
                <w:szCs w:val="26"/>
              </w:rPr>
              <w:t>Получение полиса ОМС</w:t>
            </w:r>
          </w:p>
        </w:tc>
        <w:tc>
          <w:tcPr>
            <w:tcW w:w="1701" w:type="dxa"/>
            <w:tcBorders>
              <w:top w:val="nil"/>
              <w:left w:val="nil"/>
              <w:bottom w:val="single" w:sz="4" w:space="0" w:color="auto"/>
              <w:right w:val="single" w:sz="4" w:space="0" w:color="auto"/>
            </w:tcBorders>
            <w:shd w:val="clear" w:color="auto" w:fill="auto"/>
            <w:vAlign w:val="center"/>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w:t>
            </w:r>
          </w:p>
        </w:tc>
        <w:tc>
          <w:tcPr>
            <w:tcW w:w="1701" w:type="dxa"/>
            <w:tcBorders>
              <w:top w:val="nil"/>
              <w:left w:val="nil"/>
              <w:bottom w:val="single" w:sz="4" w:space="0" w:color="auto"/>
              <w:right w:val="single" w:sz="4" w:space="0" w:color="auto"/>
            </w:tcBorders>
            <w:shd w:val="clear" w:color="auto" w:fill="auto"/>
            <w:vAlign w:val="center"/>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2</w:t>
            </w:r>
          </w:p>
        </w:tc>
        <w:tc>
          <w:tcPr>
            <w:tcW w:w="1828" w:type="dxa"/>
            <w:tcBorders>
              <w:top w:val="nil"/>
              <w:left w:val="nil"/>
              <w:bottom w:val="single" w:sz="4" w:space="0" w:color="auto"/>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+ 100</w:t>
            </w:r>
          </w:p>
        </w:tc>
      </w:tr>
      <w:tr>
        <w:trPr>
          <w:trHeight w:val="315"/>
        </w:trPr>
        <w:tc>
          <w:tcPr>
            <w:tcW w:w="757" w:type="dxa"/>
            <w:tcBorders>
              <w:top w:val="nil"/>
              <w:left w:val="single" w:sz="4" w:space="0" w:color="auto"/>
              <w:bottom w:val="nil"/>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11.</w:t>
            </w:r>
          </w:p>
        </w:tc>
        <w:tc>
          <w:tcPr>
            <w:tcW w:w="4078" w:type="dxa"/>
            <w:tcBorders>
              <w:top w:val="nil"/>
              <w:left w:val="single" w:sz="4" w:space="0" w:color="auto"/>
              <w:bottom w:val="nil"/>
              <w:right w:val="single" w:sz="4" w:space="0" w:color="auto"/>
            </w:tcBorders>
            <w:shd w:val="clear" w:color="auto" w:fill="auto"/>
            <w:vAlign w:val="center"/>
            <w:hideMark/>
          </w:tcPr>
          <w:p>
            <w:pPr>
              <w:spacing w:after="0" w:line="240" w:lineRule="auto"/>
              <w:contextualSpacing/>
              <w:outlineLvl w:val="0"/>
              <w:rPr>
                <w:rFonts w:ascii="Times New Roman" w:hAnsi="Times New Roman"/>
                <w:sz w:val="26"/>
                <w:szCs w:val="26"/>
              </w:rPr>
            </w:pPr>
            <w:r>
              <w:rPr>
                <w:rFonts w:ascii="Times New Roman" w:hAnsi="Times New Roman"/>
                <w:sz w:val="26"/>
                <w:szCs w:val="26"/>
              </w:rPr>
              <w:t>Иные вопросы здравоохранения</w:t>
            </w:r>
          </w:p>
        </w:tc>
        <w:tc>
          <w:tcPr>
            <w:tcW w:w="1701" w:type="dxa"/>
            <w:tcBorders>
              <w:top w:val="nil"/>
              <w:left w:val="nil"/>
              <w:bottom w:val="nil"/>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9</w:t>
            </w:r>
          </w:p>
        </w:tc>
        <w:tc>
          <w:tcPr>
            <w:tcW w:w="1701" w:type="dxa"/>
            <w:tcBorders>
              <w:top w:val="nil"/>
              <w:left w:val="nil"/>
              <w:bottom w:val="nil"/>
              <w:right w:val="single" w:sz="4" w:space="0" w:color="auto"/>
            </w:tcBorders>
            <w:shd w:val="clear" w:color="auto" w:fill="auto"/>
            <w:vAlign w:val="center"/>
            <w:hideMark/>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3</w:t>
            </w:r>
          </w:p>
        </w:tc>
        <w:tc>
          <w:tcPr>
            <w:tcW w:w="1828" w:type="dxa"/>
            <w:tcBorders>
              <w:top w:val="nil"/>
              <w:left w:val="nil"/>
              <w:bottom w:val="nil"/>
              <w:right w:val="single" w:sz="4" w:space="0" w:color="auto"/>
            </w:tcBorders>
          </w:tcPr>
          <w:p>
            <w:pPr>
              <w:spacing w:after="0" w:line="240" w:lineRule="auto"/>
              <w:contextualSpacing/>
              <w:jc w:val="center"/>
              <w:outlineLvl w:val="0"/>
              <w:rPr>
                <w:rFonts w:ascii="Times New Roman" w:hAnsi="Times New Roman"/>
                <w:sz w:val="26"/>
                <w:szCs w:val="26"/>
              </w:rPr>
            </w:pPr>
            <w:r>
              <w:rPr>
                <w:rFonts w:ascii="Times New Roman" w:hAnsi="Times New Roman"/>
                <w:sz w:val="26"/>
                <w:szCs w:val="26"/>
              </w:rPr>
              <w:t>- 66,67</w:t>
            </w:r>
          </w:p>
        </w:tc>
      </w:tr>
      <w:tr>
        <w:trPr>
          <w:trHeight w:val="315"/>
        </w:trPr>
        <w:tc>
          <w:tcPr>
            <w:tcW w:w="757" w:type="dxa"/>
            <w:tcBorders>
              <w:top w:val="single" w:sz="4" w:space="0" w:color="auto"/>
              <w:left w:val="single" w:sz="4" w:space="0" w:color="auto"/>
              <w:bottom w:val="single" w:sz="4" w:space="0" w:color="auto"/>
              <w:right w:val="single" w:sz="4" w:space="0" w:color="auto"/>
            </w:tcBorders>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12.</w:t>
            </w:r>
          </w:p>
        </w:tc>
        <w:tc>
          <w:tcPr>
            <w:tcW w:w="4078" w:type="dxa"/>
            <w:tcBorders>
              <w:top w:val="single" w:sz="4" w:space="0" w:color="auto"/>
              <w:left w:val="single" w:sz="4" w:space="0" w:color="auto"/>
              <w:bottom w:val="single" w:sz="4" w:space="0" w:color="auto"/>
              <w:right w:val="single" w:sz="4" w:space="0" w:color="auto"/>
            </w:tcBorders>
            <w:shd w:val="clear" w:color="auto" w:fill="auto"/>
            <w:vAlign w:val="bottom"/>
            <w:hideMark/>
          </w:tcPr>
          <w:p>
            <w:pPr>
              <w:spacing w:after="0" w:line="240" w:lineRule="auto"/>
              <w:contextualSpacing/>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Всего заявлений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48</w:t>
            </w:r>
          </w:p>
        </w:tc>
        <w:tc>
          <w:tcPr>
            <w:tcW w:w="1828" w:type="dxa"/>
            <w:tcBorders>
              <w:top w:val="single" w:sz="4" w:space="0" w:color="auto"/>
              <w:left w:val="nil"/>
              <w:bottom w:val="single" w:sz="4" w:space="0" w:color="auto"/>
              <w:right w:val="single" w:sz="4" w:space="0" w:color="auto"/>
            </w:tcBorders>
          </w:tcPr>
          <w:p>
            <w:pPr>
              <w:spacing w:after="0" w:line="240" w:lineRule="auto"/>
              <w:contextualSpacing/>
              <w:jc w:val="center"/>
              <w:rPr>
                <w:rFonts w:ascii="Times New Roman" w:eastAsia="Times New Roman" w:hAnsi="Times New Roman"/>
                <w:b/>
                <w:bCs/>
                <w:color w:val="000000"/>
                <w:sz w:val="26"/>
                <w:szCs w:val="26"/>
                <w:lang w:eastAsia="ru-RU"/>
              </w:rPr>
            </w:pPr>
            <w:r>
              <w:rPr>
                <w:rFonts w:ascii="Times New Roman" w:eastAsia="Times New Roman" w:hAnsi="Times New Roman"/>
                <w:b/>
                <w:bCs/>
                <w:color w:val="000000"/>
                <w:sz w:val="26"/>
                <w:szCs w:val="26"/>
                <w:lang w:eastAsia="ru-RU"/>
              </w:rPr>
              <w:t>50</w:t>
            </w:r>
          </w:p>
        </w:tc>
      </w:tr>
    </w:tbl>
    <w:p>
      <w:pPr>
        <w:tabs>
          <w:tab w:val="left" w:pos="7830"/>
        </w:tabs>
        <w:spacing w:after="0" w:line="240" w:lineRule="auto"/>
        <w:ind w:firstLine="709"/>
        <w:contextualSpacing/>
        <w:jc w:val="both"/>
        <w:rPr>
          <w:rFonts w:ascii="Times New Roman" w:hAnsi="Times New Roman"/>
          <w:sz w:val="26"/>
          <w:szCs w:val="26"/>
        </w:rPr>
      </w:pP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Рассмотрение всех обращений происходит в тесном контакте с региональными и федеральными ведомствами: министерством здравоохранения Калужской области, прокуратурой Калужской области, Роспотребнадзором Калужской области, Росздравнадзором Калужской области и другими профильными министерствами и ведомствами.</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Так, в адрес Уполномоченного обратилась гражданка Ч. по вопросу оказания содействия в направлении на обследование ее тяжелобольного ребенка в профильной федеральной клинике. Ребенок находился в ГБУЗ КО «Детская городская больница», где ему оказывалась вся медицинская помощь в полном объеме. Уполномоченный обратилась в адрес регионального министерства здравоохранения, о возможности проведения обследования специалистами федеральной клиники. В результате совместных усилий, по причине невозможности транспортировки ребенка, был проведен выездной консилиум врачами-специалистами ФГАУ «Национальный медицинский исследовательский центр здоровья детей» Минздрава России. Для подтверждения диагноза было проведено генетическое обследование. Родители при проведении очного консилиума получили ответы на все интересующие их вопросы о состоянии здоровья ребенка.</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В адрес Уполномоченного обратился гражданин Н. по вопросу нарушения правил этики и деонтологии врачом гастроэнтерологом детской областной больницы и отказом в выдаче медицинского заключения после осмотра ребенка. В результате проверки изложенных фактов, обращение было признано обоснованным. Администрацией больницы с врачом была проведена беседа о недопустимости нарушения</w:t>
      </w:r>
      <w:r>
        <w:rPr>
          <w:sz w:val="26"/>
          <w:szCs w:val="26"/>
        </w:rPr>
        <w:t xml:space="preserve"> </w:t>
      </w:r>
      <w:r>
        <w:rPr>
          <w:rFonts w:ascii="Times New Roman" w:hAnsi="Times New Roman"/>
          <w:sz w:val="26"/>
          <w:szCs w:val="26"/>
        </w:rPr>
        <w:t>правил этики и деонтологии при общении с пациентами и их законными представителями.</w:t>
      </w:r>
    </w:p>
    <w:p>
      <w:pPr>
        <w:tabs>
          <w:tab w:val="left" w:pos="7830"/>
        </w:tabs>
        <w:spacing w:after="0" w:line="360" w:lineRule="auto"/>
        <w:ind w:firstLine="709"/>
        <w:contextualSpacing/>
        <w:jc w:val="both"/>
        <w:rPr>
          <w:rFonts w:ascii="Times New Roman" w:hAnsi="Times New Roman"/>
          <w:sz w:val="26"/>
          <w:szCs w:val="26"/>
        </w:rPr>
      </w:pPr>
      <w:r>
        <w:rPr>
          <w:rFonts w:ascii="Times New Roman" w:hAnsi="Times New Roman"/>
          <w:sz w:val="26"/>
          <w:szCs w:val="26"/>
        </w:rPr>
        <w:t>К Уполномоченному обратилась гражданка П., являющаяся матерью ребенка-инвалида детства с просьбой о содействии в получении детской инвалидной коляски активного типа, вместо прописанной в индивидуальном плане реабилитации коляски с ручным приводом. После вмешательства Уполномоченного, ребенок прошел освидетельствование в ФКУ «ГБ МСЭ по Калужской области», по результатом которого были внесены изменения в раздел обеспечения ребенка-инвалида необходимым оборудованием индивидуального плана реабилитации.</w:t>
      </w:r>
    </w:p>
    <w:p>
      <w:pPr>
        <w:widowControl w:val="0"/>
        <w:shd w:val="clear" w:color="auto" w:fill="FFFFFF"/>
        <w:autoSpaceDE w:val="0"/>
        <w:autoSpaceDN w:val="0"/>
        <w:adjustRightInd w:val="0"/>
        <w:spacing w:after="0" w:line="360" w:lineRule="auto"/>
        <w:ind w:firstLine="708"/>
        <w:contextualSpacing/>
        <w:jc w:val="both"/>
        <w:rPr>
          <w:rFonts w:ascii="Times New Roman" w:hAnsi="Times New Roman"/>
          <w:sz w:val="26"/>
          <w:szCs w:val="26"/>
        </w:rPr>
      </w:pPr>
      <w:r>
        <w:rPr>
          <w:rFonts w:ascii="Times New Roman" w:hAnsi="Times New Roman"/>
          <w:sz w:val="26"/>
          <w:szCs w:val="26"/>
        </w:rPr>
        <w:t xml:space="preserve">В соответствии с выше сказанным, считаю целесообразным рассмотреть возможность внесения предложения повышения возраста получения добровольного согласия на медицинское вмешательство, психиатрическое освидетельствование, госпитализацию и предлагаемое лечение и отказа от него до восемнадцати лет в законодательные акты Российской Федерации. </w:t>
      </w: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2.6.</w:t>
      </w:r>
      <w:r>
        <w:rPr>
          <w:rFonts w:ascii="Times New Roman" w:hAnsi="Times New Roman" w:cs="Times New Roman"/>
          <w:sz w:val="26"/>
          <w:szCs w:val="26"/>
        </w:rPr>
        <w:t xml:space="preserve"> </w:t>
      </w:r>
      <w:r>
        <w:rPr>
          <w:rFonts w:ascii="Times New Roman" w:hAnsi="Times New Roman" w:cs="Times New Roman"/>
          <w:b/>
          <w:sz w:val="26"/>
          <w:szCs w:val="26"/>
        </w:rPr>
        <w:t>ПРАВО РЕБЕНКА НА ЖИЛИЩЕ</w:t>
      </w:r>
    </w:p>
    <w:p>
      <w:pPr>
        <w:spacing w:line="240" w:lineRule="auto"/>
        <w:ind w:firstLine="709"/>
        <w:contextualSpacing/>
        <w:jc w:val="both"/>
        <w:rPr>
          <w:rFonts w:ascii="Times New Roman" w:eastAsia="Times New Roman" w:hAnsi="Times New Roman" w:cs="Times New Roman"/>
          <w:sz w:val="26"/>
          <w:szCs w:val="26"/>
          <w:lang w:eastAsia="ru-RU"/>
        </w:rPr>
      </w:pPr>
    </w:p>
    <w:p>
      <w:pPr>
        <w:spacing w:line="360" w:lineRule="auto"/>
        <w:ind w:firstLine="709"/>
        <w:contextualSpacing/>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Жилищный вопрос на протяжении многих лет был и остается одним из самых актуальных среди граждан нашей страны. </w:t>
      </w:r>
      <w:r>
        <w:rPr>
          <w:rFonts w:ascii="Times New Roman" w:hAnsi="Times New Roman" w:cs="Times New Roman"/>
          <w:color w:val="000000"/>
          <w:sz w:val="26"/>
          <w:szCs w:val="26"/>
        </w:rPr>
        <w:t xml:space="preserve">Отсутствие жилья и плохие жилищные условия — одна из главных причин снижения рождаемости, семейных конфликтов и, как следствие, детской беспризорности.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В сложившейся ситуации ответственность государства за социальную защиту граждан, включая и обеспечение их необходимым жильём, является исключительно важной и требует к себе самого пристального внимания со стороны исполнительной и законодательной власти, гражданского общества и политических партий, ведь для то</w:t>
      </w:r>
      <w:r>
        <w:rPr>
          <w:rFonts w:ascii="Times New Roman" w:hAnsi="Times New Roman" w:cs="Times New Roman"/>
          <w:sz w:val="26"/>
          <w:szCs w:val="26"/>
        </w:rPr>
        <w:t>го чтобы, полноценно трудиться, растить и обучать детей, гражданин должен иметь, прежде всего, жильё.</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2018 г. к Уполномоченному поступило 99 письменных обращений по жилищной тематике. </w:t>
      </w:r>
    </w:p>
    <w:p>
      <w:pPr>
        <w:spacing w:line="240" w:lineRule="auto"/>
        <w:ind w:firstLine="709"/>
        <w:contextualSpacing/>
        <w:jc w:val="right"/>
        <w:rPr>
          <w:rFonts w:ascii="Times New Roman" w:hAnsi="Times New Roman" w:cs="Times New Roman"/>
          <w:b/>
          <w:i/>
          <w:color w:val="000000"/>
          <w:sz w:val="26"/>
          <w:szCs w:val="26"/>
        </w:rPr>
      </w:pPr>
      <w:r>
        <w:rPr>
          <w:rFonts w:ascii="Times New Roman" w:hAnsi="Times New Roman" w:cs="Times New Roman"/>
          <w:b/>
          <w:i/>
          <w:color w:val="000000"/>
          <w:sz w:val="26"/>
          <w:szCs w:val="26"/>
        </w:rPr>
        <w:t>Таблица № 14</w:t>
      </w: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Статистика обращений к Уполномоченному</w:t>
      </w:r>
    </w:p>
    <w:p>
      <w:pPr>
        <w:spacing w:line="240" w:lineRule="auto"/>
        <w:contextualSpacing/>
        <w:jc w:val="center"/>
        <w:rPr>
          <w:rFonts w:ascii="Times New Roman" w:hAnsi="Times New Roman" w:cs="Times New Roman"/>
          <w:b/>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536"/>
        <w:gridCol w:w="1701"/>
        <w:gridCol w:w="1701"/>
        <w:gridCol w:w="1666"/>
      </w:tblGrid>
      <w:tr>
        <w:trPr>
          <w:cantSplit/>
          <w:trHeight w:val="745"/>
        </w:trP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п/п</w:t>
            </w:r>
          </w:p>
        </w:tc>
        <w:tc>
          <w:tcPr>
            <w:tcW w:w="453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center"/>
              <w:rPr>
                <w:rFonts w:ascii="Times New Roman" w:eastAsia="Calibri" w:hAnsi="Times New Roman" w:cs="Times New Roman"/>
                <w:b/>
                <w:sz w:val="26"/>
                <w:szCs w:val="26"/>
              </w:rPr>
            </w:pPr>
          </w:p>
          <w:p>
            <w:pPr>
              <w:spacing w:after="0"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Категория обращений</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Количество обращений </w:t>
            </w:r>
          </w:p>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 2017 году</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Количество обращений </w:t>
            </w:r>
          </w:p>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в 2018 году</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Динамика поступления обращений</w:t>
            </w:r>
          </w:p>
          <w:p>
            <w:pPr>
              <w:spacing w:after="0" w:line="240" w:lineRule="auto"/>
              <w:ind w:firstLine="62"/>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16</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13</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- 18,75</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семей, воспитывающих детей-инвалидов</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+ 150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многодетных семей</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14</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0,00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Улучшение жилищных условий иных категорий граждан</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26</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+13,04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Чинение препятствий в проживании,</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- 20,00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Ремонт муниципального жилья</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+ 87,50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Определение порядка пользования жилым помещением</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- 100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Иные вопросы по жилищной сфере</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18</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- 14,29 </w:t>
            </w:r>
          </w:p>
        </w:tc>
      </w:tr>
      <w:tr>
        <w:tc>
          <w:tcPr>
            <w:tcW w:w="426" w:type="dxa"/>
            <w:tcBorders>
              <w:top w:val="single" w:sz="4" w:space="0" w:color="auto"/>
              <w:left w:val="single" w:sz="4" w:space="0" w:color="auto"/>
              <w:bottom w:val="single" w:sz="4" w:space="0" w:color="auto"/>
              <w:right w:val="single" w:sz="4" w:space="0" w:color="auto"/>
            </w:tcBorders>
          </w:tcPr>
          <w:p>
            <w:pPr>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9.</w:t>
            </w:r>
          </w:p>
        </w:tc>
        <w:tc>
          <w:tcPr>
            <w:tcW w:w="4536" w:type="dxa"/>
            <w:tcBorders>
              <w:top w:val="single" w:sz="4" w:space="0" w:color="auto"/>
              <w:left w:val="single" w:sz="4" w:space="0" w:color="auto"/>
              <w:bottom w:val="single" w:sz="4" w:space="0" w:color="auto"/>
              <w:right w:val="single" w:sz="4" w:space="0" w:color="auto"/>
            </w:tcBorders>
            <w:hideMark/>
          </w:tcPr>
          <w:p>
            <w:pPr>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Всего </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98</w:t>
            </w:r>
          </w:p>
        </w:tc>
        <w:tc>
          <w:tcPr>
            <w:tcW w:w="1701"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99</w:t>
            </w:r>
          </w:p>
        </w:tc>
        <w:tc>
          <w:tcPr>
            <w:tcW w:w="1666" w:type="dxa"/>
            <w:tcBorders>
              <w:top w:val="single" w:sz="4" w:space="0" w:color="auto"/>
              <w:left w:val="single" w:sz="4" w:space="0" w:color="auto"/>
              <w:bottom w:val="single" w:sz="4" w:space="0" w:color="auto"/>
              <w:right w:val="single" w:sz="4" w:space="0" w:color="auto"/>
            </w:tcBorders>
          </w:tcPr>
          <w:p>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+1, 02 </w:t>
            </w:r>
          </w:p>
        </w:tc>
      </w:tr>
    </w:tbl>
    <w:p>
      <w:pPr>
        <w:autoSpaceDE w:val="0"/>
        <w:autoSpaceDN w:val="0"/>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Это на 1 письменное обращение больше по сравнению с прошлым годом и в сравнение с общим числом обращений к Уполномоченному, число обращений по жилищным вопросам из года в год остается одним из основных. Увеличилось количество обращений от многодетных семей. Не снижается количество обращений от детей-сирот и детей, оставшихся без попечения родителей, в том числе от граждан, которые имели статус ребенка-сироты и ребенка, оставшегося без попечения родителей, много лет назад, но так и не реализовали свое право на получение жилья. Почти в два раза увеличилось число обращений по оказанию содействия в ремонте муниципального жилья, по подключению коммунальных услуг. Не уменьшается число обращений граждан связанных с просьбами разъяснения норм действующего жилищного законодательства.</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 сожалению, из за отсутствия в муниципальных фондах жилья и малых объемов строительства государственного жилого фонда, очереди образуются и из числа граждан, имеющих право внеочередного и первоочередного предоставления жилья, даже после прохождения долгой процедуры судебных разбирательств и уже имеющихся решений судов различных инстанций. Процесс получения жилья может затянуться на годы.</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мамой Даши мы знакомы уже давно, практически с момента введения на территории Калужской области должности Уполномоченного. В те далекие 2011-2012 годы Даша с мамой остались жить одни в полуразрушенном аварийном и опасном для жизни доме, где отключили системы коммуникаций, куда опасно входить, а не то, чтобы жить. Обратившаяся в адрес Уполномоченного семья Даши пояснила, что временное жилье при переселении из аварийного дома местная администрация предложила совместно с семьей соседей по коммуналке аварийного дома, признав их членами одной семьи. Ситуация разрешилась лишь после череды обращений в администрацию и в судебные инстанции, где наконец, в начале 2014 года суд обязал предоставить семье Даши отдельное благоустроенное жилье. Казалось проблема решена, и скоро грядет новоселье, но на обращения мамы Даши в администрацию и в отделы судебных приставов поступали лишь обещания и отписки. </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Буквально, отчаявшись, в начале уже 2018 года, семья вновь обратилась за помощью к Уполномоченному, который незамедлительно обратился к приставам с требованием надлежащим образом провести работу в рамках исполнительного производства и в местную администрацию с требованием исполнить решение суда, а также с предупреждением о мерах ответственности за несвоевременное исполнение.</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ст. 6.1 Гражданского процессуального кодекса Российской Федерации исполнение судебного постановления осуществляется в разумные сроки. Вступившие в законную силу судебные постановления являются обязательными для всех без исключения органов государственной власти, органов местного самоуправления, общественных объединений, должностных лиц, граждан, организаций и подлежат неукоснительному исполнению на всей территории Российской Федерации. Неисполнение судебного постановления, а равно иное проявление неуважения к суду, влечет за собой ответственность, предусмотренную законодательством. </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 1 ст. 3 Конвенции о правах ребенка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в соответствии с п.3 ст. 27 Конвенции о правах ребенка государства - участники в соответствии с национальными условиями и в пределах своих возможностей принимают необходимые меры по оказанию помощи родителям и другим лицам, воспитывающим детей, в осуществлении этого права и, в случае необходимости, оказывают материальную помощь и поддерживают программы, особенно в отношении обеспечения питанием, одеждой и жильем.</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со ст. 6 Конвенции о защите прав человека и основных свобод «Право на справедливое судебное разбирательство» исполнение судебного решения рассматривается как составляющая судебного разбирательства. Длительное неисполнение решений судов является поводом для обращения граждан в Европейский Суд по правам человека с жалобами на нарушение пункта 1 статьи 6 (право на справедливое судебное разбирательство) Конвенции о защите прав человека и основных свобод. Удовлетворение жалоб граждан в Европейском Суде по правам человека негативно сказывается на международном имидже Российской Федерации, влечет дополнительные расходы федерального бюджета.</w:t>
      </w:r>
    </w:p>
    <w:p>
      <w:pPr>
        <w:autoSpaceDE w:val="0"/>
        <w:autoSpaceDN w:val="0"/>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Защита нарушенных прав не может быть признана действенной, если судебный акт своевременно не исполняется.</w:t>
      </w:r>
    </w:p>
    <w:p>
      <w:pPr>
        <w:spacing w:line="360" w:lineRule="auto"/>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rPr>
        <w:t>Как результат, в начале июля ключи от долгожданной квартиры были вручены счастливой семье Даши и ее мамы.</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С самого начала образования института Уполномоченного уделяется особое внимание защите жилищных прав детей-сирот и детей, оставшихся без попечения родителей и лиц из их числа. Ведь именно эта категория детей является одной из самых уязвимых.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адрес Уполномоченного обратилась опекун подопечного несовершеннолетнего. Несовершеннолетний является собственником доли в праве собственности на жилое помещение в другом регионе. Данное жилое помещение согласно заключению уполномоченных органов признано аварийным и подлежащим сносу. При обращении на данном основании в министерство труда и социальной защиты Калужской области  опекуну было отказано в силу отсутствия заключения о признания данного жилого помещения непригодным для проживания. При повторном обращении опекуна в уполномоченный орган исполнительной власти региона уже с ответом местных властей соседнего региона о подтверждении  статуса данного жилого помещения как непригодного для проживания и установления факта невозможности проживания в данном жилом помещении. Профильное министерство, тем не менее, посчитало, что отсутствуют правовые основания для включения подопечной в список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Сотрудниками аппарата был подготовлен иск в суд. Калужский районный суд Калужской области иск опекуна удовлетворил и несовершеннолетнего обязали включить в список.</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На территории Калужской области, по состоянию на 31.12.2018, 2 132 ребенка-сироты и ребенка, оставшегося без попечения родителей и лиц из их числа, состоят в сводном списке детей-сирот и детей, оставшихся без попечения родителей, подлежащих обеспечению жилыми помещениями.</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Количество лиц из числа детей-сирот, детей, оставшихся без попечения родителей, получивших компенсацию за найм жилого помещения – 543 человека.</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Обеспечение жильем статусных детей осуществляется в пределах лимитов средств областного и федерального бюджета, в рамках подпрограммы «Право ребенка на семью» государственной программы Калужской области «Семья и дети Калужской области», утвержденной Постановлением Правительства Калужской области от 29.11.2013 № 647. Ежегодно лицам из числа детей-сирот и детей, оставшихся без попечения родителей, закупается около ста жилых помещений.</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Приобретение квартир в собственность Калужской области осуществляется путем проведения открытого аукциона в электронной форме на основании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 2018 г. в Калужской области проведено 227 электронных аукционов по приобретению и строительству жилых помещений в специализированный жилищный фонд для статусных детей. По итогам электронных аукционов заключено 65 государственных контрактов на приобретение жилых помещений в специализированный жилищный фонд для детей-сирот.</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Основными причинами несостоявшихся электронных аукционов по приобретению жилых помещений в специализированный жилищный фонд является:</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высокая стоимость жилья в Калужской области. Расчет субсидии для Калужской области производится с учетом средней рыночной стоимости одного квадратного метра общей площади жилья, утвержденной Минстроем РФ, составляет 41 846 рублей за квадратный метр. В тоже время, согласно данным Федерального органа государственной статистики (Росстат), стоимость одного квадратного метра первичного рынка составляет 51 995 рублей за квадратный метр (без учета отделки), что не позволило освоить средства в полном объеме.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shd w:val="clear" w:color="auto" w:fill="FFFFFF"/>
        </w:rPr>
        <w:t>- отказ физических лиц от участия в электронных аукционах (в связи с необходимостью наличия ЭЦП и перечисления для участия в аукционе 6 % от стоимости приобретаемой квартиры).</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Учитывая неуменьшающееся количество поступающих обращений </w:t>
      </w:r>
      <w:r>
        <w:rPr>
          <w:rFonts w:ascii="Times New Roman" w:eastAsia="Calibri" w:hAnsi="Times New Roman" w:cs="Times New Roman"/>
          <w:sz w:val="26"/>
          <w:szCs w:val="26"/>
        </w:rPr>
        <w:t>законных представителей детей-сирот и детей, оставшихся без попечения родителей, лиц из числа детей-сирот и детей, оставшихся без попечения родителей</w:t>
      </w:r>
      <w:r>
        <w:rPr>
          <w:rFonts w:ascii="Times New Roman" w:hAnsi="Times New Roman" w:cs="Times New Roman"/>
          <w:sz w:val="26"/>
          <w:szCs w:val="26"/>
        </w:rPr>
        <w:t xml:space="preserve"> в связи с</w:t>
      </w:r>
      <w:r>
        <w:rPr>
          <w:rFonts w:ascii="Times New Roman" w:eastAsia="Calibri" w:hAnsi="Times New Roman" w:cs="Times New Roman"/>
          <w:sz w:val="26"/>
          <w:szCs w:val="26"/>
        </w:rPr>
        <w:t xml:space="preserve"> отказами министерства труда и социальной защиты Калужской области </w:t>
      </w:r>
      <w:r>
        <w:rPr>
          <w:rFonts w:ascii="Times New Roman" w:hAnsi="Times New Roman" w:cs="Times New Roman"/>
          <w:sz w:val="26"/>
          <w:szCs w:val="26"/>
        </w:rPr>
        <w:t xml:space="preserve">в постановке в сводный список детей-сирот и детей, оставшихся без попечения родителей, а также лиц из числа детей-сирот и детей, оставшихся без попечения родителей, подлежащих обеспечению жилыми помещениями, Уполномоченным было принято решение о тщательном изучении ситуации, связанной с улучшением жилищных условий статусных детей. </w:t>
      </w:r>
    </w:p>
    <w:p>
      <w:pPr>
        <w:spacing w:line="360" w:lineRule="auto"/>
        <w:ind w:firstLine="709"/>
        <w:contextualSpacing/>
        <w:jc w:val="both"/>
        <w:rPr>
          <w:rFonts w:ascii="Times New Roman" w:eastAsia="Calibri" w:hAnsi="Times New Roman" w:cs="Times New Roman"/>
          <w:sz w:val="26"/>
          <w:szCs w:val="26"/>
        </w:rPr>
      </w:pPr>
      <w:r>
        <w:rPr>
          <w:rFonts w:ascii="Times New Roman" w:hAnsi="Times New Roman" w:cs="Times New Roman"/>
          <w:sz w:val="26"/>
          <w:szCs w:val="26"/>
        </w:rPr>
        <w:t xml:space="preserve">В течение первой половины 2018 года на территории Калужской области Уполномоченным </w:t>
      </w:r>
      <w:r>
        <w:rPr>
          <w:rFonts w:ascii="Times New Roman" w:eastAsia="Calibri" w:hAnsi="Times New Roman" w:cs="Times New Roman"/>
          <w:sz w:val="26"/>
          <w:szCs w:val="26"/>
        </w:rPr>
        <w:t>проведен мониторинг по исполнению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Для объективной оценки ситуации на местах по вопросу защиты жилищных прав лиц указанных категорий Уполномоченным и специалистами его аппарата были осуществлены выезды в следующие муниципальные образования Калужской области: Барятинский, Думиничский, Жиздринский, Медынский, Тарусский, Юхновский, Износковский, Кировский, Сухиничский, Ферзиковский, Людиновский, Бабынинский районы. Также осуществлены выезды в: </w:t>
      </w:r>
      <w:r>
        <w:rPr>
          <w:rFonts w:ascii="Times New Roman" w:eastAsia="Calibri" w:hAnsi="Times New Roman" w:cs="Times New Roman"/>
          <w:sz w:val="26"/>
          <w:szCs w:val="26"/>
        </w:rPr>
        <w:t>ГБУ ЦССВ «Берега»</w:t>
      </w:r>
      <w:r>
        <w:rPr>
          <w:rStyle w:val="a9"/>
          <w:rFonts w:ascii="Times New Roman" w:hAnsi="Times New Roman" w:cs="Times New Roman"/>
          <w:sz w:val="26"/>
          <w:szCs w:val="26"/>
        </w:rPr>
        <w:t xml:space="preserve">, </w:t>
      </w:r>
      <w:r>
        <w:rPr>
          <w:rFonts w:ascii="Times New Roman" w:hAnsi="Times New Roman" w:cs="Times New Roman"/>
          <w:sz w:val="26"/>
          <w:szCs w:val="26"/>
        </w:rPr>
        <w:t>ГКУ КО для детей-сирот и детей, оставшихся без попечения родителей «Азаровский детский дом им.                Попова В.Т.».</w:t>
      </w:r>
    </w:p>
    <w:p>
      <w:pPr>
        <w:spacing w:line="360" w:lineRule="auto"/>
        <w:ind w:firstLine="696"/>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В соответствии с пп. 11, пп. 13 п. 1 ст. 8 Федерального закона </w:t>
      </w:r>
      <w:r>
        <w:rPr>
          <w:rFonts w:ascii="Times New Roman" w:hAnsi="Times New Roman" w:cs="Times New Roman"/>
          <w:sz w:val="26"/>
          <w:szCs w:val="26"/>
          <w:shd w:val="clear" w:color="auto" w:fill="FFFFFF"/>
        </w:rPr>
        <w:t>от 24.04.2008                       № 48-ФЗ «Об опеке и попечительства» к полномочиям органов опеки и попечительства относятся: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оказание помощи опекунам и попечителям несовершеннолетних граждан в реализации и защите прав подопечных.</w:t>
      </w:r>
    </w:p>
    <w:p>
      <w:pPr>
        <w:spacing w:line="360" w:lineRule="auto"/>
        <w:ind w:firstLine="696"/>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 13 ст. 7 закона Калужской области от 02.07.2007 № 334-ОЗ «</w:t>
      </w:r>
      <w:r>
        <w:rPr>
          <w:rFonts w:ascii="Times New Roman" w:hAnsi="Times New Roman" w:cs="Times New Roman"/>
          <w:bCs/>
          <w:sz w:val="26"/>
          <w:szCs w:val="26"/>
        </w:rPr>
        <w:t>Об организации и осуществлении деятельности по опеке и попечительству» к п</w:t>
      </w:r>
      <w:r>
        <w:rPr>
          <w:rFonts w:ascii="Times New Roman" w:hAnsi="Times New Roman" w:cs="Times New Roman"/>
          <w:sz w:val="26"/>
          <w:szCs w:val="26"/>
        </w:rPr>
        <w:t xml:space="preserve">олномочиям органов исполнительной власти Калужской области по вопросам организации и осуществления деятельности по опеке и попечительству относится осуществление контроля за сохранностью имущества и управлением имуществом детей-сирот и детей, оставшихся без попечения родителей. </w:t>
      </w:r>
    </w:p>
    <w:p>
      <w:pPr>
        <w:spacing w:line="360" w:lineRule="auto"/>
        <w:ind w:firstLine="709"/>
        <w:contextualSpacing/>
        <w:jc w:val="both"/>
        <w:rPr>
          <w:rFonts w:ascii="Times New Roman" w:hAnsi="Times New Roman" w:cs="Times New Roman"/>
          <w:spacing w:val="1"/>
          <w:sz w:val="26"/>
          <w:szCs w:val="26"/>
          <w:shd w:val="clear" w:color="auto" w:fill="FFFFFF"/>
        </w:rPr>
      </w:pPr>
      <w:r>
        <w:rPr>
          <w:rFonts w:ascii="Times New Roman" w:hAnsi="Times New Roman" w:cs="Times New Roman"/>
          <w:sz w:val="26"/>
          <w:szCs w:val="26"/>
        </w:rPr>
        <w:t xml:space="preserve">В соответствии с пп. «В» пункта 4 </w:t>
      </w:r>
      <w:r>
        <w:rPr>
          <w:rFonts w:ascii="Times New Roman" w:hAnsi="Times New Roman" w:cs="Times New Roman"/>
          <w:bCs/>
          <w:sz w:val="26"/>
          <w:szCs w:val="26"/>
          <w:shd w:val="clear" w:color="auto" w:fill="FFFFFF"/>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Pr>
          <w:rFonts w:ascii="Times New Roman" w:hAnsi="Times New Roman" w:cs="Times New Roman"/>
          <w:sz w:val="26"/>
          <w:szCs w:val="26"/>
        </w:rPr>
        <w:t>, утвержденных Постановлением Правительства Российской Федерации от 18.05.2009 № 423 «</w:t>
      </w:r>
      <w:r>
        <w:rPr>
          <w:rFonts w:ascii="Times New Roman" w:hAnsi="Times New Roman" w:cs="Times New Roman"/>
          <w:bCs/>
          <w:sz w:val="26"/>
          <w:szCs w:val="26"/>
          <w:shd w:val="clear" w:color="auto" w:fill="FFFFFF"/>
        </w:rPr>
        <w:t>Об отдельных вопросах осуществления опеки и попечительства в отношении несовершеннолетних граждан»,</w:t>
      </w:r>
      <w:r>
        <w:rPr>
          <w:rFonts w:ascii="Times New Roman" w:hAnsi="Times New Roman" w:cs="Times New Roman"/>
          <w:bCs/>
          <w:sz w:val="26"/>
          <w:szCs w:val="26"/>
        </w:rPr>
        <w:t xml:space="preserve"> при помещении подопечного под опеку или попечительство плановая проверка проводится в виде посещения подопечного:</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а) 1 раз в течение первого месяца после принятия органом опеки и попечительства решения о назначении опекуна;</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б) 1 раз в 3 месяца в течение первого года после принятия органом опеки и попечительства решения о назначении опекуна;</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 1 раз в 6 месяцев в течение второго года и последующих лет после принятия органом опеки и попечительства решения о назначении опекуна.</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sz w:val="26"/>
          <w:szCs w:val="26"/>
        </w:rPr>
        <w:t xml:space="preserve">Действующее законодательство предписывает органам опеки составлять </w:t>
      </w:r>
      <w:r>
        <w:rPr>
          <w:rFonts w:ascii="Times New Roman" w:hAnsi="Times New Roman" w:cs="Times New Roman"/>
          <w:sz w:val="26"/>
          <w:szCs w:val="26"/>
          <w:shd w:val="clear" w:color="auto" w:fill="FFFFFF"/>
        </w:rPr>
        <w:t>акт проверки условий жизни подопечного, соблюдения опекуном прав и законных интересов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по форме, устанавливаемой Министерством образования и науки Российской Федерации (</w:t>
      </w:r>
      <w:r>
        <w:rPr>
          <w:rFonts w:ascii="Times New Roman" w:hAnsi="Times New Roman" w:cs="Times New Roman"/>
          <w:sz w:val="26"/>
          <w:szCs w:val="26"/>
        </w:rPr>
        <w:t>П</w:t>
      </w:r>
      <w:r>
        <w:rPr>
          <w:rFonts w:ascii="Times New Roman" w:hAnsi="Times New Roman" w:cs="Times New Roman"/>
          <w:bCs/>
          <w:sz w:val="26"/>
          <w:szCs w:val="26"/>
        </w:rPr>
        <w:t xml:space="preserve">риказ Минобрнауки России от 29.12.2014 № 1642 «Об утверждении формы акта проверки условий жизни несовершеннолетнего подопечного, соблюдения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 </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Пункт 3 указанного акта должен содержать сведения об </w:t>
      </w:r>
      <w:r>
        <w:rPr>
          <w:rFonts w:ascii="Times New Roman" w:hAnsi="Times New Roman" w:cs="Times New Roman"/>
          <w:sz w:val="26"/>
          <w:szCs w:val="26"/>
          <w:shd w:val="clear" w:color="auto" w:fill="FFFFFF"/>
        </w:rPr>
        <w:t>обеспечении сохранности имущества подопечного (недвижимого и движимого), в том числе информацию о р</w:t>
      </w:r>
      <w:r>
        <w:rPr>
          <w:rFonts w:ascii="Times New Roman" w:hAnsi="Times New Roman" w:cs="Times New Roman"/>
          <w:sz w:val="26"/>
          <w:szCs w:val="26"/>
        </w:rPr>
        <w:t>еализации мер по сохранности имущества подопечного, эффективного его использования. Меры, предпринятые опекуном или организацией для детей-сирот и детей, оставшихся без попечения родителей, а также органом опеки и попечительства для обеспечения сохранности недвижимого и движимого имущества подопечного.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большинстве муниципальных образований в п. 3.2 акта указываются только сведения о наличие в собственности, либо нахождения в пользовании у несовершеннолетнего подопечного недвижимого имущества. Сведений о принятии мер по сохранности жилья подопечного ни один из просмотренных актов не содержит. Специалисты органов опеки поясняют, что более подробная информация содержится в «отдельных актах по жилью».</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свою очередь во всех посещенных муниципальных образованиях имеются «акты по жилью», но все они различны. К примеру, в Бабынинском районе - это акт проверки наличия, сохранности и состояния закрепленного жилья, в Жиздринском районе – это акт обследования жилого помещения, право пользования которым сохранено за несовершеннолетним подопечным, в Людиновском районе – это акт обследования жилищно-бытовых условий жилого помещения, в Малоярославецком районе – это акт обследования жилого помещения, право пользования которым сохранено за несовершеннолетним подопечным, в Медынском районе – это акт обследования жилого помещения, закрепленного за несовершеннолетним, в Ферзиковском районе – это акт обследования состояния жилого помещении, закрепленного за несовершеннолетними, оставшимися без попечения родителей, в Хвастовичском районе – это акт обследования сохранности жилого помещения, находящегося в собственности оставшихся без попечения родителей.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Отсутствует единообразный подход к составлению указанных актов, все акты разные по своему содержанию. К примеру, акты Износковского района содержат не актуальные правовые сведения. Лица, уполномоченные составляющие акты, тоже различные: в ряде муниципальных образований их составляют только сотрудники отдела опеки и попечительства, в ряде муниципальных образований их составляют только главы сельских поселений, где-то акты составляются коммиссионно.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того, отсутствует единообразный подход и в периодичности составления этих актов. К примеру, в Бабынинском, Людиновском, Сухиничском, Кировском, Малоярославецком районах акт составляется 2 раза в год, в Хвастовичском, Ферзиковском районах составляется раз в год. В Думиничсаком районе за 2017 году таких актов нет.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Ряд отделов опек составляют и утверждают свой график посещений жилых помещений, право пользования которыми сохранено за статусными детьми, у других данные посещения жилых помещений, право пользования которыми сохранено за статусными детьми, сопряжены с посещением несовершеннолетних и составлением актов жилищно-бытовых условий.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Отдельно хотелось бы остановится на опыте работы, по данному направлению, в Юхновском районе. Постановлением главы администрации утвержден состав комиссии, созданной для обследования жилья, закрепленного за детьми-сиротами и детьми, оставшимися без попечения родителей. В состав комиссии входят: заместитель главы администрации, начальник отдела архитектуры и строительства администрации, заместитель заведующего отделом образования администрации, начальник отдела по управлению жилищно-коммунальным, дорожным хозяйством, транспортом, связью и тарификацией администрации, ответственный секретарь КДНиЗП района, директор Юхновского филиала КП «БТИ», начальник ПЧ-21 «ОФПС № 5» по КО.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Подобное комиссионное обследование жилых помещений, право пользования которыми сохранено за статусными детьми, позволяет всесторонне оценить состояние жилого помещения, его технические характеристики, пожарное состояние.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Необходимо отметить, что даже составление акта не всегда решит жилищный вопрос ребенка-сироты и ребенка, оставшегося без попечения родителей.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 визуальном осмотре жилых помещений, право пользования которыми сохранено за детьми-сиротами и детьми, оставшимися без попечения родителей, наблюдается: нарушение целостности оконных рам, напольных покрытий, стен, фундамента, отсутствие стекол. Следует отметить, что жилые помещения, без оконных рам, с трещинами в стенах с каждым годом все больше и больше приходят в негодность (распространение грибковых образований и т.д.) и на их ремонт денежных средств потребуется гораздо больше, чем в настоящее время. Программы по обеспечению сохранности жилых помещений, право пользования которыми сохранено за статусными детьми, в посещенных муниципальных образованиях, отсутствуют.</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Одной из общепринятых мер по реализации обеспечения сохранности жилых помещений, право пользования которыми сохранено за статусными детьми, является сдача жилых помещений в поднаем. Среди посещенных муниципальных образований в поднайм жилые помещения сдаются в Жиздринском, Малоярославецком, Ферзиковском и Юхновском районах.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Заслуживает положительной оценки опыт работы Ферзиковского района. С целью недопущения занижения стоимости арендной платы за жилые помещения, право пользования которыми сохранено за статусными детьми, специалистами отдела опеки и попечительства в риелторские организации направляются запросы с целью уточнения ежемесячной рыночной стоимости права найма (аренды) жилого помещения. Разрешение на совершение сделки по сдаче в наем имущества несовершеннолетнего подопечного оформляется постановление главы администрации района, в котором прописываются условия по оплате за наем, порядок внесения платежей, условия по осуществлению текущего ремонта. Контроль за исполнением постановления возлагается на начальника отдела опеки.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Еще одной мерой по реализации обеспечения сохранности жилых помещений, право пользования которыми сохранено за статусными детьми, является недопущение образования задолженности за жилищно-коммунальные услуги. В Хвастовичском, Сухиничском, Износковском, Думиничском, Медынском, Барятинском районах органами опеки и попечительства не активно ведется работа по информированию законных представителей о необходимости проведения работы по уменьшению, либо погашению задолженности. В свою очередь, положительной оценки заслуживает опыт работы Людиновского района: на момент посещения ни в одном из жилых помещений, право пользования которыми сохранено за статусными детьми, не было установлено наличие задолженности за жилищно-коммунальные услуги.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не активно ведется работа по предоставлению законным представителям образцов заявлений и исковых заявлений (заявление о необходимости формирования отдельных платежных документов (при сохранении одного лицевого счета), исковое заявление о выселении лиц, злостно уклоняющихся от бремени содержания жилого помещения).</w:t>
      </w:r>
    </w:p>
    <w:p>
      <w:pPr>
        <w:spacing w:line="360" w:lineRule="auto"/>
        <w:ind w:firstLine="709"/>
        <w:contextualSpacing/>
        <w:jc w:val="both"/>
        <w:rPr>
          <w:rFonts w:ascii="Times New Roman" w:hAnsi="Times New Roman" w:cs="Times New Roman"/>
          <w:bCs/>
          <w:sz w:val="26"/>
          <w:szCs w:val="26"/>
          <w:shd w:val="clear" w:color="auto" w:fill="FFFFFF"/>
        </w:rPr>
      </w:pPr>
      <w:r>
        <w:rPr>
          <w:rFonts w:ascii="Times New Roman" w:hAnsi="Times New Roman" w:cs="Times New Roman"/>
          <w:sz w:val="26"/>
          <w:szCs w:val="26"/>
        </w:rPr>
        <w:t xml:space="preserve">В соответствии с пп. б пункта 3 </w:t>
      </w:r>
      <w:r>
        <w:rPr>
          <w:rFonts w:ascii="Times New Roman" w:hAnsi="Times New Roman" w:cs="Times New Roman"/>
          <w:bCs/>
          <w:sz w:val="26"/>
          <w:szCs w:val="26"/>
          <w:shd w:val="clear" w:color="auto" w:fill="FFFFFF"/>
        </w:rPr>
        <w:t>Правил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r>
        <w:rPr>
          <w:rFonts w:ascii="Times New Roman" w:hAnsi="Times New Roman" w:cs="Times New Roman"/>
          <w:sz w:val="26"/>
          <w:szCs w:val="26"/>
        </w:rPr>
        <w:t>, утвержденных Постановлением Правительства Российской Федерации от 18.05.2009 № 423 «</w:t>
      </w:r>
      <w:r>
        <w:rPr>
          <w:rFonts w:ascii="Times New Roman" w:hAnsi="Times New Roman" w:cs="Times New Roman"/>
          <w:bCs/>
          <w:sz w:val="26"/>
          <w:szCs w:val="26"/>
          <w:shd w:val="clear" w:color="auto" w:fill="FFFFFF"/>
        </w:rPr>
        <w:t>Об отдельных вопросах осуществления опеки и попечительства в отношении несовершеннолетних граждан», в личные дела несовершеннолетних подопечных также включаются правоустанавливающие документы на жилое помещение и иное имущество. В Износковском районе в ряде личных дел несовершеннолетних подопечных указанные документы отсутствовали.</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bCs/>
          <w:sz w:val="26"/>
          <w:szCs w:val="26"/>
          <w:shd w:val="clear" w:color="auto" w:fill="FFFFFF"/>
        </w:rPr>
        <w:t xml:space="preserve">Предполагается, что статусный ребенок по окончанию пребывания в замещающей семье, </w:t>
      </w:r>
      <w:r>
        <w:rPr>
          <w:rFonts w:ascii="Times New Roman" w:hAnsi="Times New Roman" w:cs="Times New Roman"/>
          <w:sz w:val="26"/>
          <w:szCs w:val="26"/>
          <w:shd w:val="clear" w:color="auto" w:fill="FFFFFF"/>
        </w:rPr>
        <w:t>по окончании срока пребывания в образовательных организациях, организациях социального обслуживания, учреждениях системы здравоохранения и иных учреждениях, а также по завершении получения профессионального образования, либо окончании прохождения военной службы по призыву, либо окончании отбывания наказания в исправительных учреждениях, должен вернуться проживать в жилое помещение, право пользования которым сохранено за ним. Во время посещения муниципальных образований в Медынском районе за тремя несовершеннолетними сохранено право пользования бесхозным жильем, которое не значится ни в муниципальной, ни в частной собственности. На запросы органа опеки и попечительства в адрес глав, соответствующих муниципальных образований с просьбой о постановке данных жилых помещений на учет, ответы не получены. Таким образом, при возвращении статусного ребенка в жилое помещение, право пользования которым было сохранено, он не сможет в полной мере воспользоваться триадой прав, установленных гражданским законодательством, а именно: правом пользования, правом владения и правом распоряжения.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xml:space="preserve">Учитывая, что на федеральном уровне отсутствует единый порядок и методические рекомендации по вопросам обеспечения сохранности жилых помещений за статусными детьми, их использованию и контролем, считаю необходимым рассмотреть возможность использования в Калужской области опыта других субъектов, к примеру, Волгоградской области. Имеется необходимость разработки и </w:t>
      </w:r>
      <w:r>
        <w:rPr>
          <w:rFonts w:ascii="Times New Roman" w:hAnsi="Times New Roman" w:cs="Times New Roman"/>
          <w:sz w:val="26"/>
          <w:szCs w:val="26"/>
        </w:rPr>
        <w:t>утверждения в Калужской области порядка по осуществлению контроля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лица из числа детей-сирот и детей, оставшихся без попечения родителей, в тот числе содержал бы рекомендации по составлению органами опеки акта обследования жилого помещений, а также предписывал дальнейшие действия по межведомственному взаимодействию (признания непригодным для проживания, требующим ремонта и тд.).</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rPr>
        <w:t>Согласно ст. 8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дети-сироты и дети, оставшиеся без попечения родителей, лиц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r>
        <w:rPr>
          <w:rFonts w:ascii="Times New Roman" w:hAnsi="Times New Roman" w:cs="Times New Roman"/>
          <w:sz w:val="26"/>
          <w:szCs w:val="26"/>
          <w:shd w:val="clear" w:color="auto" w:fill="FFFFFF"/>
        </w:rPr>
        <w:t xml:space="preserve">. </w:t>
      </w:r>
    </w:p>
    <w:p>
      <w:pPr>
        <w:spacing w:line="360" w:lineRule="auto"/>
        <w:ind w:firstLine="709"/>
        <w:contextualSpacing/>
        <w:jc w:val="both"/>
        <w:rPr>
          <w:rFonts w:ascii="Times New Roman" w:hAnsi="Times New Roman" w:cs="Times New Roman"/>
          <w:bCs/>
          <w:sz w:val="26"/>
          <w:szCs w:val="26"/>
        </w:rPr>
      </w:pPr>
      <w:r>
        <w:rPr>
          <w:rFonts w:ascii="Times New Roman" w:hAnsi="Times New Roman" w:cs="Times New Roman"/>
          <w:sz w:val="26"/>
          <w:szCs w:val="26"/>
          <w:shd w:val="clear" w:color="auto" w:fill="FFFFFF"/>
        </w:rPr>
        <w:t xml:space="preserve">При проведении мониторинга было установлено, что в Бабынинском, Думиничском, Малоярославецком, Медынском, Хвастовичском районах, при наличии правовых оснований, законными представителями несовершеннолетних статусных детей не были направлены пакеты документов в министерство труда и социальной защиты Калужской области для постановки в сводный </w:t>
      </w:r>
      <w:r>
        <w:rPr>
          <w:rFonts w:ascii="Times New Roman" w:hAnsi="Times New Roman" w:cs="Times New Roman"/>
          <w:bCs/>
          <w:sz w:val="26"/>
          <w:szCs w:val="26"/>
        </w:rPr>
        <w:t>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по причине того, что специалистами отделов опеки и попечительства разъяснения о необходимости сбора такового пакета документов не давались.</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Одним из оснований постановки несовершеннолетнего статусного ребенка в сводный </w:t>
      </w:r>
      <w:r>
        <w:rPr>
          <w:rFonts w:ascii="Times New Roman" w:hAnsi="Times New Roman" w:cs="Times New Roman"/>
          <w:bCs/>
          <w:sz w:val="26"/>
          <w:szCs w:val="26"/>
        </w:rPr>
        <w:t xml:space="preserve">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специализированного жилищного фонда министерства труда и социальной защиты Калужской области, является то, что </w:t>
      </w:r>
      <w:r>
        <w:rPr>
          <w:rFonts w:ascii="Times New Roman" w:hAnsi="Times New Roman" w:cs="Times New Roman"/>
          <w:sz w:val="26"/>
          <w:szCs w:val="26"/>
          <w:shd w:val="clear" w:color="auto" w:fill="FFFFFF"/>
        </w:rPr>
        <w:t>жилые помещения непригодны для постоянного проживания или не отвечают установленным для жилых помещений санитарным и техническим правилам и нормам, иным требованиям законодательства Российской Федерации. Из всех посещенных муниципальных образований лишь в Ферзиковском районе имеется практика работы по комиссионному признанию жилых помещений не соответствующими санитарным и техническим правилам и нормам. В личных делах несовершеннолетних воспитанников имеются заключения о признании жилого помещения не соответствующим установленным для жилых помещений санитарным и техническим правилам и нормам. Кроме того, в личных делах имеются заключения о техническом состоянии жилых помещений, выданные КП «Бюро технической инвентаризации» Калужской области Ферзиковский филиал.</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Дополнительно хотелось бы отметить следующие проблемные моменты в организации деятельности органов опеки и попечительства: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недостаточность квалифицированных кадров для непосредственной работы с населением (например, с юридическим образованием, психологов);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тесные, неудобные помещения, в которых располагаются, работают и осуществляют прием населения сотрудники органов опеки и попечительства;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отсутствие собственного автотранспорта (деятельность органов опеки и попечительства связана с посещением семей, которые могут находится в разных «уголках» муниципального района и зачастую в эти «уголки» очень сложно добраться, особенно в осенне-зимний период). Сотрудники органа опеки и попечительства вынуждены либо «выпрашивать» автотранспорт у администрации района, либо ждать автомобиль администрации, который поедет в интересующем их направлении.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Для улучшения работы органов опеки и попечительства в адрес министерства труда и социальной защиты Калужской области, а также в адрес глав администраций муниципальных образований были направлены следующие рекомендации: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xml:space="preserve">- рассмотреть возможность разработки и </w:t>
      </w:r>
      <w:r>
        <w:rPr>
          <w:rFonts w:ascii="Times New Roman" w:hAnsi="Times New Roman" w:cs="Times New Roman"/>
          <w:sz w:val="26"/>
          <w:szCs w:val="26"/>
        </w:rPr>
        <w:t>утверждения в Калужской области порядка по осуществлению контроля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лица из числа детей-сирот и детей, оставшихся без попечения родителей;</w:t>
      </w: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рассмотреть возможность внедрения в практику работы сдачу в поднайм жилых помещений, право пользования которыми сохранено за детьми-сиротами и детьми, оставшимися без попечения родителей;</w:t>
      </w: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на постоянной основе проводить обучающие семинары для специалистов органов опеки и попечительства в части оказания содействия замещающим родителям по интересующим вопросам в части исполнения законодательства об обеспечении жилыми помещениями детей-сирот и детей, оставшихся без попечения родителей, проживающих на территории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eastAsia="Calibri" w:hAnsi="Times New Roman" w:cs="Times New Roman"/>
          <w:sz w:val="26"/>
          <w:szCs w:val="26"/>
        </w:rPr>
        <w:t>- не допускать сохранение права пользования за статусными детьми жилых помещений, которые являются бесхозными или ведомственными;</w:t>
      </w:r>
    </w:p>
    <w:p>
      <w:pPr>
        <w:spacing w:line="36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rPr>
        <w:t>- рассмотреть возможность разработки и утверждения программ по обеспечению сохранности жилых помещений, право пользования которыми сохранено за статусными детьми.</w:t>
      </w: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rPr>
          <w:rFonts w:ascii="Times New Roman" w:hAnsi="Times New Roman" w:cs="Times New Roman"/>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2.7.</w:t>
      </w:r>
      <w:r>
        <w:rPr>
          <w:rFonts w:ascii="Times New Roman" w:hAnsi="Times New Roman" w:cs="Times New Roman"/>
          <w:sz w:val="26"/>
          <w:szCs w:val="26"/>
        </w:rPr>
        <w:t xml:space="preserve"> </w:t>
      </w:r>
      <w:r>
        <w:rPr>
          <w:rFonts w:ascii="Times New Roman" w:hAnsi="Times New Roman" w:cs="Times New Roman"/>
          <w:b/>
          <w:sz w:val="26"/>
          <w:szCs w:val="26"/>
        </w:rPr>
        <w:t>ПРАВО НА СОЦИАЛЬНОЕ ОБЕСПЕЧЕНИЕ</w:t>
      </w:r>
    </w:p>
    <w:p>
      <w:pPr>
        <w:spacing w:line="240" w:lineRule="auto"/>
        <w:contextualSpacing/>
        <w:jc w:val="center"/>
        <w:rPr>
          <w:rFonts w:ascii="Times New Roman" w:hAnsi="Times New Roman" w:cs="Times New Roman"/>
          <w:sz w:val="26"/>
          <w:szCs w:val="26"/>
        </w:rPr>
      </w:pP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 (ч.1 ст. 39 Конституции Российской Федерации).</w:t>
      </w:r>
    </w:p>
    <w:p>
      <w:pPr>
        <w:spacing w:line="36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Социальная политика является составной частью стратегии государства, поскольку она выступает в виде целенаправленной деятельности по выработке и успешной реализации решений, которые касаются человека, его общего состояния и положения в общественной системе. Политика государства, направленная на предоставление человеку социальных гарантий, должна учитывать особенности положения различных групп населения.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Социальная защита населения России – это совокупность средств и мероприятий, направляемых на охрану прав граждан РФ, а также удовлетворение их социальных нужд.</w:t>
      </w:r>
    </w:p>
    <w:p>
      <w:pPr>
        <w:pStyle w:val="a3"/>
        <w:spacing w:before="0" w:beforeAutospacing="0" w:after="0" w:afterAutospacing="0" w:line="360" w:lineRule="auto"/>
        <w:ind w:firstLine="709"/>
        <w:contextualSpacing/>
        <w:jc w:val="both"/>
        <w:rPr>
          <w:sz w:val="26"/>
          <w:szCs w:val="26"/>
        </w:rPr>
      </w:pPr>
      <w:r>
        <w:rPr>
          <w:sz w:val="26"/>
          <w:szCs w:val="26"/>
        </w:rPr>
        <w:t>В особом внимании социальных служб нуждаются инвалиды, безработные, дети-сироты, пенсионеры, матери-одиночки, военные ветераны, неполные семьи и др. Им положена всесторонняя помощь. Ее суть разъясняется в Федеральном законе от 17.07.1999 № 178-ФЗ «О государственной социальной помощи»: «Государственная социальная помощь – предоставление малоимущим семьям, малоимущим одиноко проживающим гражданам, а также иным категориям граждан социальных пособий, социальных доплат к пенсии, субсидий, социальных услуг и жизненно необходимых товаров».</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официальном сайте </w:t>
      </w:r>
      <w:r>
        <w:rPr>
          <w:rStyle w:val="link"/>
          <w:rFonts w:ascii="Times New Roman" w:hAnsi="Times New Roman" w:cs="Times New Roman"/>
          <w:sz w:val="26"/>
          <w:szCs w:val="26"/>
        </w:rPr>
        <w:t xml:space="preserve">Министерства труда и социальной защиты Российской Федерации (https://rosmintrud.ru/social) размещена информация об </w:t>
      </w:r>
      <w:r>
        <w:rPr>
          <w:rFonts w:ascii="Times New Roman" w:eastAsia="Times New Roman" w:hAnsi="Times New Roman" w:cs="Times New Roman"/>
          <w:sz w:val="26"/>
          <w:szCs w:val="26"/>
          <w:lang w:eastAsia="ru-RU"/>
        </w:rPr>
        <w:t xml:space="preserve">изменениях в сфере социального обеспечения с 2018 года.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 с 1 января для застрахованных граждан повышается максимальный размер пособия по уходу за ребенком до полутора лет до 24 503 рублей в месяц.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Также увеличены пособия по беременности и родам.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2018 году максимальный размер этого пособия составил 61 375 рублей в месяц.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2018 года активно развивается электронный больничный. Внедрение данной технологии позволит сделать обмен информацией о страховых случаях прозрачным, снизит трудозатраты на оформление бумажных листков нетрудоспособности, а также исключит необходимость проверять правильность оформления листков нетрудоспособности и вести их учет.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детей, оба родителя которых неизвестны, установлена социальная пенсия в размере 10 068,53 рубля. Данная пенсия назначается детям в возрасте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обучения, но не дольше чем до достижения ими возраста 23 лет.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усыновления ребенка, оба родителя которого неизвестны, социальная пенсия не выплачивается с 1-го числа месяца, следующего за месяцем, в котором соответствующее лицо было усыновлено. Увеличены размеры социальных пенсий нетрудоспособных граждан. Так, например, инвалидам с детства I группы и детям-инвалидам социальная пенсия теперь выплачивается в размере 12 082 рубля 6 копеек в месяц (ранее – 8 704 рубля в месяц), а инвалидам III группы – 4 279 рублей 14 копеек в месяц (ранее – 3 082 рубля 71 копейка в месяц).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Размер материнского (семейного) капитала сохранился на уровне 2017 года – 453 026 рублей. </w:t>
      </w:r>
    </w:p>
    <w:p>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Одним из самых незащищенных слоев населения страны, являются люди с инвалидностью. Правительство Российской Федерации определило целый список льгот, благодаря которым может быть существенно облегчена жизнь человека с ограниченными возможностями:</w:t>
      </w:r>
    </w:p>
    <w:p>
      <w:pPr>
        <w:pStyle w:val="aa"/>
        <w:tabs>
          <w:tab w:val="left" w:pos="1134"/>
        </w:tabs>
        <w:spacing w:line="360" w:lineRule="auto"/>
        <w:ind w:left="0" w:firstLine="709"/>
        <w:contextualSpacing w:val="0"/>
        <w:jc w:val="both"/>
        <w:rPr>
          <w:rFonts w:eastAsia="Times New Roman" w:cs="Times New Roman"/>
          <w:szCs w:val="26"/>
          <w:lang w:eastAsia="ru-RU"/>
        </w:rPr>
      </w:pPr>
      <w:r>
        <w:rPr>
          <w:rFonts w:eastAsia="Times New Roman" w:cs="Times New Roman"/>
          <w:szCs w:val="26"/>
          <w:lang w:eastAsia="ru-RU"/>
        </w:rPr>
        <w:t xml:space="preserve">- прием в детские дошкольные учреждения детей с ограниченными возможностями здоровья без очереди; </w:t>
      </w:r>
    </w:p>
    <w:p>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xml:space="preserve">- бесплатное прохождение реабилитации и медицинское обслуживание; </w:t>
      </w:r>
    </w:p>
    <w:p>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xml:space="preserve">- пятидесятипроцентная скидка в сфере ЖКХ при оплате коммунальных услуг; </w:t>
      </w:r>
    </w:p>
    <w:p>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xml:space="preserve">- бесплатные путевки (18 - 42 дня) в санатории с компенсацией проезда; </w:t>
      </w:r>
    </w:p>
    <w:p>
      <w:pPr>
        <w:pStyle w:val="aa"/>
        <w:tabs>
          <w:tab w:val="left" w:pos="1134"/>
        </w:tabs>
        <w:spacing w:line="360" w:lineRule="auto"/>
        <w:ind w:left="709"/>
        <w:jc w:val="both"/>
        <w:rPr>
          <w:rFonts w:eastAsia="Times New Roman" w:cs="Times New Roman"/>
          <w:szCs w:val="26"/>
          <w:lang w:eastAsia="ru-RU"/>
        </w:rPr>
      </w:pPr>
      <w:r>
        <w:rPr>
          <w:rFonts w:eastAsia="Times New Roman" w:cs="Times New Roman"/>
          <w:szCs w:val="26"/>
          <w:lang w:eastAsia="ru-RU"/>
        </w:rPr>
        <w:t xml:space="preserve">- бесплатное протезирование и предоставление ортопедической обуви; </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частично компенсированная стоимость проезда в городском транспорте (за исключением служб такси); </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зачисление в высшие учебные заведения вне конкурса, обучение на бюджете со стипендией, к которой установлена надбавка в размере 50%;</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установка пандусов в домах, где проживают люди с ограничениями в движении; </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предоставление муниципального жилья по праву первой очереди; </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специальные пошлины при совершении сделок купли-продажи; </w:t>
      </w:r>
    </w:p>
    <w:p>
      <w:pPr>
        <w:tabs>
          <w:tab w:val="left" w:pos="1134"/>
        </w:tabs>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предоставление земельного участка под строительство.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Законодательство Российской Федерации предусматривает право инвалида отказаться от социальных услуг, таких как санаторно-курортное лечение, процедуры реабилитации и еще ряда других льгот, а их стоимость получать в виде денежного эквивалента. Для того, чтобы отказаться от услуг в пользу выплат денежных средств, необходимо обратиться в органы социальной защиты, которые располагаются по месту жительства инвалида. </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Федеральным законом от 28 декабря 2013 г. № 442-ФЗ «Об основах социального обслуживания граждан в Российской Федерации» детям-инвалидам и детям с ограниченными возможностями здоровья оказываются социальные услуги в стационарной и полустационарной формах социального обслуживания, в форме социального обслуживания на дому. Общее количество детей-инвалидов, получивших в Калужской области в 2018 году социальные услуги, составило 1 670 человек.</w:t>
      </w:r>
    </w:p>
    <w:p>
      <w:pPr>
        <w:spacing w:line="36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С целью обеспечения доступности социальной среды для детей-инвалидов, постановлением Правительства Калужской области от 30 декабря 2013 г. № 744 утверждена Государственная программа Калужской области «Доступная среда в Калужской области». Цель программы – обеспечение беспрепятственного доступа к приоритетным объектам и услугам в приоритетных сферах жизнедеятельности инвалидов и других</w:t>
      </w:r>
      <w:r>
        <w:rPr>
          <w:rFonts w:ascii="Times New Roman" w:hAnsi="Times New Roman" w:cs="Times New Roman"/>
          <w:sz w:val="26"/>
          <w:szCs w:val="26"/>
        </w:rPr>
        <w:t xml:space="preserve"> маломобильных групп населения (людей, испытывающих затруднения при самостоятельном передвижении, получении услуг, необходимой информации) в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получателей областных пособий и компенсаций семьям с детьми в 2018 году составило 43,8 тысяч семей, в которых воспитывается 62,2 тысячи детей. Общая сумма израсходованных средств областного бюджета на выплату областных пособий и компенсаций семьям составила 1 226, 3 млн. руб.</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Согласно Закону Калужской области от 29 июня 2012 года № 301-ОЗ «О ежемесячной денежной выплате при рождении третьего ребенка или последующих детей до достижения ребенком возраста трех лет» с 2013 года в регионе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Право на указанную денежную выплату имеет один из родителей на каждого рождённого третьего ребенка или последующих детей до достижения ребенком возраста трех лет в семьях со среднедушевым доходом, размер которого не превышает среднедушевой денежный доход населения, сложившийся в Калужской области на момент обращения лица за назначением денежной выплаты.</w:t>
      </w:r>
    </w:p>
    <w:p>
      <w:pPr>
        <w:keepNext/>
        <w:tabs>
          <w:tab w:val="left" w:pos="180"/>
        </w:tabs>
        <w:suppressAutoHyphens/>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15</w:t>
      </w:r>
    </w:p>
    <w:p>
      <w:pPr>
        <w:keepNext/>
        <w:tabs>
          <w:tab w:val="left" w:pos="180"/>
        </w:tabs>
        <w:suppressAutoHyphens/>
        <w:spacing w:line="240" w:lineRule="auto"/>
        <w:ind w:firstLine="709"/>
        <w:contextualSpacing/>
        <w:jc w:val="right"/>
        <w:rPr>
          <w:rFonts w:ascii="Times New Roman" w:hAnsi="Times New Roman" w:cs="Times New Roman"/>
          <w:b/>
          <w:sz w:val="26"/>
          <w:szCs w:val="26"/>
        </w:rPr>
      </w:pPr>
    </w:p>
    <w:p>
      <w:pPr>
        <w:keepNext/>
        <w:spacing w:line="24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t>Обеспечение пособиями и компенсациями семей с детьми органами социальной защиты населения Калужской области</w:t>
      </w:r>
    </w:p>
    <w:p>
      <w:pPr>
        <w:keepNext/>
        <w:spacing w:line="240" w:lineRule="auto"/>
        <w:ind w:firstLine="709"/>
        <w:contextualSpacing/>
        <w:jc w:val="center"/>
        <w:rPr>
          <w:rFonts w:ascii="Times New Roman" w:hAnsi="Times New Roman" w:cs="Times New Roman"/>
          <w:b/>
          <w:sz w:val="26"/>
          <w:szCs w:val="2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701"/>
        <w:gridCol w:w="1984"/>
        <w:gridCol w:w="1985"/>
      </w:tblGrid>
      <w:tr>
        <w:trPr>
          <w:cantSplit/>
          <w:trHeight w:val="828"/>
          <w:tblHeader/>
        </w:trPr>
        <w:tc>
          <w:tcPr>
            <w:tcW w:w="4253" w:type="dxa"/>
            <w:vAlign w:val="center"/>
          </w:tcPr>
          <w:p>
            <w:pPr>
              <w:keepNext/>
              <w:widowControl w:val="0"/>
              <w:tabs>
                <w:tab w:val="left" w:pos="180"/>
              </w:tabs>
              <w:suppressAutoHyphens/>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Виды пособий</w:t>
            </w:r>
          </w:p>
        </w:tc>
        <w:tc>
          <w:tcPr>
            <w:tcW w:w="1701" w:type="dxa"/>
            <w:vAlign w:val="center"/>
            <w:hideMark/>
          </w:tcPr>
          <w:p>
            <w:pPr>
              <w:keepNext/>
              <w:widowControl w:val="0"/>
              <w:tabs>
                <w:tab w:val="left" w:pos="180"/>
              </w:tabs>
              <w:suppressAutoHyphens/>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Размер пособия в 2018 году</w:t>
            </w:r>
          </w:p>
          <w:p>
            <w:pPr>
              <w:keepNext/>
              <w:widowControl w:val="0"/>
              <w:tabs>
                <w:tab w:val="left" w:pos="180"/>
              </w:tabs>
              <w:suppressAutoHyphens/>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(рублей)</w:t>
            </w:r>
          </w:p>
        </w:tc>
        <w:tc>
          <w:tcPr>
            <w:tcW w:w="1984" w:type="dxa"/>
            <w:vAlign w:val="center"/>
            <w:hideMark/>
          </w:tcPr>
          <w:p>
            <w:pPr>
              <w:keepNext/>
              <w:widowControl w:val="0"/>
              <w:tabs>
                <w:tab w:val="left" w:pos="180"/>
              </w:tabs>
              <w:suppressAutoHyphens/>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Кол-во семей/детей, которым осуществлена выплата в 2018 году</w:t>
            </w:r>
          </w:p>
        </w:tc>
        <w:tc>
          <w:tcPr>
            <w:tcW w:w="1985" w:type="dxa"/>
            <w:vAlign w:val="center"/>
            <w:hideMark/>
          </w:tcPr>
          <w:p>
            <w:pPr>
              <w:keepNext/>
              <w:widowControl w:val="0"/>
              <w:tabs>
                <w:tab w:val="left" w:pos="180"/>
              </w:tabs>
              <w:suppressAutoHyphens/>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Нормативный правовой акт</w:t>
            </w:r>
          </w:p>
        </w:tc>
      </w:tr>
      <w:tr>
        <w:trPr>
          <w:cantSplit/>
          <w:trHeight w:val="1832"/>
        </w:trPr>
        <w:tc>
          <w:tcPr>
            <w:tcW w:w="4253" w:type="dxa"/>
            <w:hideMark/>
          </w:tcPr>
          <w:p>
            <w:pPr>
              <w:widowControl w:val="0"/>
              <w:suppressAutoHyphen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1. Ежемесячное пособие малообеспеченным семьям:</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1) ежемесячное пособие на ребенка </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2) пособие на детей одиноких матерей </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3) пособие на детей разыскиваемых родителей</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4) пособие на детей военнослужащих по призыву</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5) пособие на детей-инвалидов</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6) пособие на детей, один из родителей которых, входящий в состав семьи, является инвалидом</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7) пособие на второго и последующих детей в возрасте от 1,5 до 3 лет</w:t>
            </w:r>
          </w:p>
        </w:tc>
        <w:tc>
          <w:tcPr>
            <w:tcW w:w="1701" w:type="dxa"/>
          </w:tcPr>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200</w:t>
            </w: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400</w:t>
            </w: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400</w:t>
            </w: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600</w:t>
            </w: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2 000</w:t>
            </w: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400</w:t>
            </w: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p>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4 000</w:t>
            </w:r>
          </w:p>
        </w:tc>
        <w:tc>
          <w:tcPr>
            <w:tcW w:w="1984" w:type="dxa"/>
            <w:hideMark/>
          </w:tcPr>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26135 / 38659</w:t>
            </w:r>
          </w:p>
        </w:tc>
        <w:tc>
          <w:tcPr>
            <w:tcW w:w="1985" w:type="dxa"/>
            <w:hideMark/>
          </w:tcPr>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30.12.2004 № 10-ОЗ</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«О ежемесячном пособии на ребенка» (в ред. Закона Калужской области от 29.06.2012</w:t>
            </w:r>
          </w:p>
          <w:p>
            <w:pPr>
              <w:widowControl w:val="0"/>
              <w:tabs>
                <w:tab w:val="left" w:pos="180"/>
              </w:tabs>
              <w:suppressAutoHyphens/>
              <w:spacing w:line="240" w:lineRule="auto"/>
              <w:contextualSpacing/>
              <w:rPr>
                <w:rFonts w:ascii="Times New Roman" w:hAnsi="Times New Roman" w:cs="Times New Roman"/>
                <w:sz w:val="26"/>
                <w:szCs w:val="26"/>
              </w:rPr>
            </w:pPr>
            <w:r>
              <w:rPr>
                <w:rFonts w:ascii="Times New Roman" w:hAnsi="Times New Roman" w:cs="Times New Roman"/>
                <w:sz w:val="26"/>
                <w:szCs w:val="26"/>
              </w:rPr>
              <w:t>№ 307-ОЗ)</w:t>
            </w:r>
          </w:p>
        </w:tc>
      </w:tr>
      <w:tr>
        <w:trPr>
          <w:cantSplit/>
          <w:trHeight w:val="464"/>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b/>
                <w:sz w:val="26"/>
                <w:szCs w:val="26"/>
              </w:rPr>
              <w:t>2. Ежемесячное пособие многодетным семьям, имеющим 4-х и более детей</w:t>
            </w:r>
          </w:p>
        </w:tc>
        <w:tc>
          <w:tcPr>
            <w:tcW w:w="1701" w:type="dxa"/>
          </w:tcPr>
          <w:p>
            <w:pPr>
              <w:widowControl w:val="0"/>
              <w:tabs>
                <w:tab w:val="left" w:pos="180"/>
              </w:tabs>
              <w:suppressAutoHyphens/>
              <w:spacing w:line="240" w:lineRule="auto"/>
              <w:ind w:firstLine="33"/>
              <w:contextualSpacing/>
              <w:jc w:val="center"/>
              <w:rPr>
                <w:rFonts w:ascii="Times New Roman" w:hAnsi="Times New Roman" w:cs="Times New Roman"/>
                <w:sz w:val="26"/>
                <w:szCs w:val="26"/>
              </w:rPr>
            </w:pPr>
            <w:r>
              <w:rPr>
                <w:rFonts w:ascii="Times New Roman" w:hAnsi="Times New Roman" w:cs="Times New Roman"/>
                <w:sz w:val="26"/>
                <w:szCs w:val="26"/>
              </w:rPr>
              <w:t>600</w:t>
            </w:r>
          </w:p>
        </w:tc>
        <w:tc>
          <w:tcPr>
            <w:tcW w:w="1984" w:type="dxa"/>
            <w:hideMark/>
          </w:tcPr>
          <w:p>
            <w:pPr>
              <w:widowControl w:val="0"/>
              <w:tabs>
                <w:tab w:val="left" w:pos="180"/>
              </w:tabs>
              <w:suppressAutoHyphens/>
              <w:spacing w:line="240" w:lineRule="auto"/>
              <w:ind w:firstLine="60"/>
              <w:contextualSpacing/>
              <w:jc w:val="center"/>
              <w:rPr>
                <w:rFonts w:ascii="Times New Roman" w:hAnsi="Times New Roman" w:cs="Times New Roman"/>
                <w:sz w:val="26"/>
                <w:szCs w:val="26"/>
              </w:rPr>
            </w:pPr>
            <w:r>
              <w:rPr>
                <w:rFonts w:ascii="Times New Roman" w:hAnsi="Times New Roman" w:cs="Times New Roman"/>
                <w:sz w:val="26"/>
                <w:szCs w:val="26"/>
              </w:rPr>
              <w:t>2661 / 9403</w:t>
            </w:r>
          </w:p>
        </w:tc>
        <w:tc>
          <w:tcPr>
            <w:tcW w:w="1985" w:type="dxa"/>
            <w:hideMark/>
          </w:tcPr>
          <w:p>
            <w:pPr>
              <w:widowControl w:val="0"/>
              <w:tabs>
                <w:tab w:val="left" w:pos="180"/>
              </w:tabs>
              <w:suppressAutoHyphens/>
              <w:spacing w:line="240" w:lineRule="auto"/>
              <w:ind w:firstLine="709"/>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05.05.2000 № 8-ОЗ «О статусе многодетной семьи в Калужской области и мерах ее социальной поддержки»</w:t>
            </w:r>
          </w:p>
        </w:tc>
      </w:tr>
      <w:tr>
        <w:trPr>
          <w:cantSplit/>
          <w:trHeight w:val="567"/>
        </w:trPr>
        <w:tc>
          <w:tcPr>
            <w:tcW w:w="4253" w:type="dxa"/>
            <w:hideMark/>
          </w:tcPr>
          <w:p>
            <w:pPr>
              <w:widowControl w:val="0"/>
              <w:tabs>
                <w:tab w:val="left" w:pos="180"/>
              </w:tabs>
              <w:suppressAutoHyphens/>
              <w:spacing w:line="240" w:lineRule="auto"/>
              <w:contextualSpacing/>
              <w:rPr>
                <w:rFonts w:ascii="Times New Roman" w:hAnsi="Times New Roman" w:cs="Times New Roman"/>
                <w:b/>
                <w:sz w:val="26"/>
                <w:szCs w:val="26"/>
              </w:rPr>
            </w:pPr>
            <w:r>
              <w:rPr>
                <w:rFonts w:ascii="Times New Roman" w:hAnsi="Times New Roman" w:cs="Times New Roman"/>
                <w:b/>
                <w:sz w:val="26"/>
                <w:szCs w:val="26"/>
              </w:rPr>
              <w:t xml:space="preserve">3. Единовременное пособие при рождении второго ребенка </w:t>
            </w:r>
            <w:r>
              <w:rPr>
                <w:rFonts w:ascii="Times New Roman" w:hAnsi="Times New Roman" w:cs="Times New Roman"/>
                <w:sz w:val="26"/>
                <w:szCs w:val="26"/>
              </w:rPr>
              <w:t>(обращение за пособием не позднее 6 месяцев со дня рождения ребенка)</w:t>
            </w:r>
          </w:p>
        </w:tc>
        <w:tc>
          <w:tcPr>
            <w:tcW w:w="1701" w:type="dxa"/>
          </w:tcPr>
          <w:p>
            <w:pPr>
              <w:widowControl w:val="0"/>
              <w:tabs>
                <w:tab w:val="left" w:pos="180"/>
              </w:tabs>
              <w:suppressAutoHyphens/>
              <w:spacing w:line="240" w:lineRule="auto"/>
              <w:ind w:right="-95"/>
              <w:contextualSpacing/>
              <w:jc w:val="center"/>
              <w:rPr>
                <w:rFonts w:ascii="Times New Roman" w:hAnsi="Times New Roman" w:cs="Times New Roman"/>
                <w:sz w:val="26"/>
                <w:szCs w:val="26"/>
              </w:rPr>
            </w:pPr>
            <w:r>
              <w:rPr>
                <w:rFonts w:ascii="Times New Roman" w:hAnsi="Times New Roman" w:cs="Times New Roman"/>
                <w:sz w:val="26"/>
                <w:szCs w:val="26"/>
              </w:rPr>
              <w:t>22 326</w:t>
            </w:r>
          </w:p>
        </w:tc>
        <w:tc>
          <w:tcPr>
            <w:tcW w:w="1984" w:type="dxa"/>
            <w:hideMark/>
          </w:tcPr>
          <w:p>
            <w:pPr>
              <w:widowControl w:val="0"/>
              <w:tabs>
                <w:tab w:val="left" w:pos="180"/>
              </w:tabs>
              <w:suppressAutoHyphens/>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3796 / 3796</w:t>
            </w:r>
          </w:p>
        </w:tc>
        <w:tc>
          <w:tcPr>
            <w:tcW w:w="1985" w:type="dxa"/>
            <w:hideMark/>
          </w:tcPr>
          <w:p>
            <w:pPr>
              <w:widowControl w:val="0"/>
              <w:tabs>
                <w:tab w:val="left" w:pos="180"/>
              </w:tabs>
              <w:suppressAutoHyphens/>
              <w:spacing w:line="240" w:lineRule="auto"/>
              <w:ind w:firstLine="709"/>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07.05.2003</w:t>
            </w:r>
          </w:p>
          <w:p>
            <w:pPr>
              <w:widowControl w:val="0"/>
              <w:tabs>
                <w:tab w:val="left" w:pos="180"/>
              </w:tabs>
              <w:suppressAutoHyphens/>
              <w:spacing w:line="240" w:lineRule="auto"/>
              <w:ind w:firstLine="709"/>
              <w:contextualSpacing/>
              <w:rPr>
                <w:rFonts w:ascii="Times New Roman" w:hAnsi="Times New Roman" w:cs="Times New Roman"/>
                <w:sz w:val="26"/>
                <w:szCs w:val="26"/>
              </w:rPr>
            </w:pPr>
            <w:r>
              <w:rPr>
                <w:rFonts w:ascii="Times New Roman" w:hAnsi="Times New Roman" w:cs="Times New Roman"/>
                <w:sz w:val="26"/>
                <w:szCs w:val="26"/>
              </w:rPr>
              <w:t>№ 201-ОЗ «О единовременном пособии при рождении второго и последующих детей»</w:t>
            </w:r>
          </w:p>
        </w:tc>
      </w:tr>
      <w:tr>
        <w:trPr>
          <w:cantSplit/>
          <w:trHeight w:val="940"/>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b/>
                <w:sz w:val="26"/>
                <w:szCs w:val="26"/>
              </w:rPr>
              <w:t xml:space="preserve">4. Ежемесячное пособие на ребенка </w:t>
            </w:r>
            <w:r>
              <w:rPr>
                <w:rFonts w:ascii="Times New Roman" w:hAnsi="Times New Roman" w:cs="Times New Roman"/>
                <w:sz w:val="26"/>
                <w:szCs w:val="26"/>
              </w:rPr>
              <w:t>(назначается и выплачивается детям военнослужащих и сотрудников органов специального назначения, погибших в результате разрешения кризиса в Чеченской Республике)</w:t>
            </w:r>
          </w:p>
        </w:tc>
        <w:tc>
          <w:tcPr>
            <w:tcW w:w="1701" w:type="dxa"/>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1 000</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8 / 11</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Постановление Губернатора Калужской области от 06.06.2000 № 319 «О ежемесячном пособии детям военнослужащих и сотрудников органов специального назначения, погибших в результате разрешения кризиса в Чеченской Республике»</w:t>
            </w:r>
          </w:p>
        </w:tc>
      </w:tr>
      <w:tr>
        <w:trPr>
          <w:cantSplit/>
          <w:trHeight w:val="699"/>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b/>
                <w:sz w:val="26"/>
                <w:szCs w:val="26"/>
              </w:rPr>
              <w:t>5. Ежемесячная денежная выплата на содержание усыновленного ребенка (детей):</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 на усыновленного ребенка-инвалида</w:t>
            </w:r>
          </w:p>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sz w:val="26"/>
                <w:szCs w:val="26"/>
              </w:rPr>
              <w:t>- усыновителю, имеющему инвалидность</w:t>
            </w:r>
            <w:r>
              <w:rPr>
                <w:rFonts w:ascii="Times New Roman" w:hAnsi="Times New Roman" w:cs="Times New Roman"/>
                <w:b/>
                <w:sz w:val="26"/>
                <w:szCs w:val="26"/>
              </w:rPr>
              <w:t xml:space="preserve"> </w:t>
            </w:r>
          </w:p>
        </w:tc>
        <w:tc>
          <w:tcPr>
            <w:tcW w:w="1701" w:type="dxa"/>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 xml:space="preserve">3 000 </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 xml:space="preserve">6 000 </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6 000</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692 / 776</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18 / 20</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31 / 40</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20.10.1997 № 18-ОЗ</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«О социальных гарантиях приемным семьям в Калужской области»</w:t>
            </w:r>
          </w:p>
        </w:tc>
      </w:tr>
      <w:tr>
        <w:trPr>
          <w:cantSplit/>
          <w:trHeight w:val="631"/>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b/>
                <w:sz w:val="26"/>
                <w:szCs w:val="26"/>
              </w:rPr>
              <w:t>6. Компенсация за проезд детям, нуждающимся в санаторно-курортном лечении, и сопровождающим их лицам</w:t>
            </w:r>
          </w:p>
        </w:tc>
        <w:tc>
          <w:tcPr>
            <w:tcW w:w="1701" w:type="dxa"/>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100 %</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стоимости проезда</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21 / 29</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 xml:space="preserve">Закон Калужской области от 14.07.2005 № 103-ОЗ </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«О предоставлении компенсации за проезд детям, нуждающимся в санаторно-курортном лечении».</w:t>
            </w:r>
          </w:p>
        </w:tc>
      </w:tr>
      <w:tr>
        <w:trPr>
          <w:cantSplit/>
          <w:trHeight w:val="670"/>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b/>
                <w:sz w:val="26"/>
                <w:szCs w:val="26"/>
              </w:rPr>
              <w:t xml:space="preserve">7. Материнский (семейный) капитал </w:t>
            </w:r>
            <w:r>
              <w:rPr>
                <w:rFonts w:ascii="Times New Roman" w:hAnsi="Times New Roman" w:cs="Times New Roman"/>
                <w:sz w:val="26"/>
                <w:szCs w:val="26"/>
              </w:rPr>
              <w:t>женщине, родившей (усыновившей) третьего или последующих детей, начиная с 1 января 2012 года.</w:t>
            </w:r>
          </w:p>
        </w:tc>
        <w:tc>
          <w:tcPr>
            <w:tcW w:w="1701" w:type="dxa"/>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 xml:space="preserve">50 000 </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1746</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27.12.2011</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 xml:space="preserve">№ 240-ОЗ </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«О материнском (семейном) капитале»</w:t>
            </w:r>
          </w:p>
        </w:tc>
      </w:tr>
      <w:tr>
        <w:trPr>
          <w:cantSplit/>
          <w:trHeight w:val="670"/>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b/>
                <w:sz w:val="26"/>
                <w:szCs w:val="26"/>
              </w:rPr>
              <w:t>8. Ежемесячная денежная выплата при рождении третьего ребенка или последующих детей, начиная с 1 января 2013 года, до достижения ребенком возраста 3 лет</w:t>
            </w:r>
          </w:p>
        </w:tc>
        <w:tc>
          <w:tcPr>
            <w:tcW w:w="1701"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Величина прожиточного минимума для детей</w:t>
            </w:r>
          </w:p>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с сентября 2018 года 10292 руб.</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7358 / 7934</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29.06.2012</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 xml:space="preserve">№ 301-ОЗ </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 xml:space="preserve">«О ежемесячной денежной выплате при рождении третьего ребенка или последующих детей до достижения ребенком возраста </w:t>
            </w:r>
          </w:p>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3 лет»</w:t>
            </w:r>
          </w:p>
        </w:tc>
      </w:tr>
      <w:tr>
        <w:trPr>
          <w:cantSplit/>
          <w:trHeight w:val="670"/>
        </w:trPr>
        <w:tc>
          <w:tcPr>
            <w:tcW w:w="4253" w:type="dxa"/>
            <w:hideMark/>
          </w:tcPr>
          <w:p>
            <w:pPr>
              <w:widowControl w:val="0"/>
              <w:tabs>
                <w:tab w:val="left" w:pos="180"/>
              </w:tabs>
              <w:suppressAutoHyphens/>
              <w:spacing w:line="240" w:lineRule="auto"/>
              <w:ind w:firstLine="34"/>
              <w:contextualSpacing/>
              <w:rPr>
                <w:rFonts w:ascii="Times New Roman" w:hAnsi="Times New Roman" w:cs="Times New Roman"/>
                <w:b/>
                <w:sz w:val="26"/>
                <w:szCs w:val="26"/>
              </w:rPr>
            </w:pPr>
            <w:r>
              <w:rPr>
                <w:rFonts w:ascii="Times New Roman" w:hAnsi="Times New Roman" w:cs="Times New Roman"/>
                <w:b/>
                <w:sz w:val="26"/>
                <w:szCs w:val="26"/>
              </w:rPr>
              <w:t>9. Ежемесячная денежная компенсация малообеспеченным семьям на полноценное питание детям второго и третьего года жизни</w:t>
            </w:r>
          </w:p>
        </w:tc>
        <w:tc>
          <w:tcPr>
            <w:tcW w:w="1701" w:type="dxa"/>
            <w:hideMark/>
          </w:tcPr>
          <w:p>
            <w:pPr>
              <w:widowControl w:val="0"/>
              <w:tabs>
                <w:tab w:val="left" w:pos="180"/>
              </w:tabs>
              <w:suppressAutoHyphens/>
              <w:spacing w:line="240" w:lineRule="auto"/>
              <w:ind w:left="-6" w:right="-95" w:firstLine="34"/>
              <w:contextualSpacing/>
              <w:jc w:val="center"/>
              <w:rPr>
                <w:rFonts w:ascii="Times New Roman" w:hAnsi="Times New Roman" w:cs="Times New Roman"/>
                <w:sz w:val="26"/>
                <w:szCs w:val="26"/>
              </w:rPr>
            </w:pPr>
            <w:r>
              <w:rPr>
                <w:rFonts w:ascii="Times New Roman" w:hAnsi="Times New Roman" w:cs="Times New Roman"/>
                <w:sz w:val="26"/>
                <w:szCs w:val="26"/>
              </w:rPr>
              <w:t>В размере понесённых расходов, но не более 1000 руб. на ребенка</w:t>
            </w:r>
          </w:p>
        </w:tc>
        <w:tc>
          <w:tcPr>
            <w:tcW w:w="1984" w:type="dxa"/>
            <w:hideMark/>
          </w:tcPr>
          <w:p>
            <w:pPr>
              <w:widowControl w:val="0"/>
              <w:tabs>
                <w:tab w:val="left" w:pos="180"/>
              </w:tabs>
              <w:suppressAutoHyphens/>
              <w:spacing w:line="240" w:lineRule="auto"/>
              <w:ind w:firstLine="34"/>
              <w:contextualSpacing/>
              <w:jc w:val="center"/>
              <w:rPr>
                <w:rFonts w:ascii="Times New Roman" w:hAnsi="Times New Roman" w:cs="Times New Roman"/>
                <w:sz w:val="26"/>
                <w:szCs w:val="26"/>
              </w:rPr>
            </w:pPr>
            <w:r>
              <w:rPr>
                <w:rFonts w:ascii="Times New Roman" w:hAnsi="Times New Roman" w:cs="Times New Roman"/>
                <w:sz w:val="26"/>
                <w:szCs w:val="26"/>
              </w:rPr>
              <w:t>1413 / 1483</w:t>
            </w:r>
          </w:p>
        </w:tc>
        <w:tc>
          <w:tcPr>
            <w:tcW w:w="1985" w:type="dxa"/>
            <w:hideMark/>
          </w:tcPr>
          <w:p>
            <w:pPr>
              <w:widowControl w:val="0"/>
              <w:tabs>
                <w:tab w:val="left" w:pos="180"/>
              </w:tabs>
              <w:suppressAutoHyphens/>
              <w:spacing w:line="240" w:lineRule="auto"/>
              <w:ind w:firstLine="34"/>
              <w:contextualSpacing/>
              <w:rPr>
                <w:rFonts w:ascii="Times New Roman" w:hAnsi="Times New Roman" w:cs="Times New Roman"/>
                <w:sz w:val="26"/>
                <w:szCs w:val="26"/>
              </w:rPr>
            </w:pPr>
            <w:r>
              <w:rPr>
                <w:rFonts w:ascii="Times New Roman" w:hAnsi="Times New Roman" w:cs="Times New Roman"/>
                <w:sz w:val="26"/>
                <w:szCs w:val="26"/>
              </w:rPr>
              <w:t>Закон Калужской области от 24.12.2015 № 40-ОЗ «Об обеспечении полноценным питанием детей второго и третьего года жизни»</w:t>
            </w:r>
          </w:p>
        </w:tc>
      </w:tr>
    </w:tbl>
    <w:p>
      <w:pPr>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Законом Калужской области от 05.05.2000 № 8-ОЗ «О статусе многодетной семьи в Калужской области и мерах ее социальной поддержки» установлено многодетным семьям, имеющим четырех и более детей в возрасте до 18 лет (обучающимся в образовательных организациях очной формы обучения – до 23 лет), ежемесячное пособие в размере 600 рублей на каждого ребенка.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Калужской области установлены меры социальной поддержки всем категориям семей, принявших на воспитание детей-сирот и детей, оставшихся без попечения родителей (таблица № 16). В соответствии с Законом Калужской области от 20.10.1997 № 18-ОЗ «О социальных гарантиях приемным семьям в Калужской области» размер оплаты труда приемным родителям в 2018 году составил 9 447 рублей за воспитание каждого ребенка, за воспитание ребенка до трех лет - 11 335 рублей. Размер оплаты труда приемных родителей, воспитывающих детей-инвалидов, составлял 18 890 рублей за воспитание каждого ребенка и увеличивался до 20 781 рубля за воспитание ребенка-инвалида до трех лет.</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Установлены доплаты приемным родителям за областные и государственные награды, полученные за достойное воспитание детей. В соответствии с Законом Калужской области от 02.12.2008 № 498-ОЗ «О выплате вознаграждения опекунам или попечителям и о внесении изменений в отдельные законодательные акты Калужской области» установлена ежемесячная выплата вознаграждения за труд опекунам и попечителям, воспитывающим несовершеннолетних, имеющих инвалидность, а также опекунам, воспитывающим подопечных, не являющихся их близкими родственниками. В 2018 году ее размер составил 5 959 рублей.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целях реализации региональной семейной политики и оказания социально-экономической поддержки лицам, усыновившим ребенка (детей), Законом Калужской области от 31.03.2008 № 420 «О дополнительных мерах социальной поддержки лиц из числа детей-сирот и детей, оставшихся без попечения родителей, иных категорий лиц и усыновителей» установлены меры социальной поддержки усыновителям в виде единовременного пособия в сумме 50 000 рублей. В случае усыновления ребенка-инвалида, ребенка старше семи лет, а также детей, являющихся братьями или сестрами, единовременная выплата составляет 100 000 рублей.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Законом Калужской области от 20.10.1997 № 18–ОЗ «О социальных гарантиях приемным семьям в Калужской области» при усыновлении (удочерении) приемного ребенка граждане Российской Федерации, постоянно проживающие не менее пяти лет на территории Калужской области, имеют право на государственную поддержку в виде субсидии на погашение остатка задолженности по кредиту (займу), выданному банком или иной организацией на цели приобретения (строительства) жилого помещения. </w:t>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16</w:t>
      </w:r>
    </w:p>
    <w:p>
      <w:pPr>
        <w:spacing w:line="240" w:lineRule="auto"/>
        <w:ind w:firstLine="709"/>
        <w:contextualSpacing/>
        <w:jc w:val="both"/>
        <w:rPr>
          <w:rFonts w:ascii="Times New Roman" w:hAnsi="Times New Roman" w:cs="Times New Roman"/>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Меры социальной поддержки всем категориям семей, принявших на воспитание детей-сирот и детей, оставшихся без попечения родителей</w:t>
      </w:r>
    </w:p>
    <w:p>
      <w:pPr>
        <w:spacing w:line="240" w:lineRule="auto"/>
        <w:contextualSpacing/>
        <w:jc w:val="center"/>
        <w:rPr>
          <w:rFonts w:ascii="Times New Roman" w:hAnsi="Times New Roman" w:cs="Times New Roman"/>
          <w:b/>
          <w:sz w:val="26"/>
          <w:szCs w:val="26"/>
        </w:rPr>
      </w:pPr>
    </w:p>
    <w:tbl>
      <w:tblPr>
        <w:tblpPr w:leftFromText="180" w:rightFromText="180" w:vertAnchor="text" w:horzAnchor="margin" w:tblpXSpec="center" w:tblpY="20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22"/>
        <w:gridCol w:w="2367"/>
      </w:tblGrid>
      <w:tr>
        <w:tc>
          <w:tcPr>
            <w:tcW w:w="7522" w:type="dxa"/>
            <w:vAlign w:val="center"/>
          </w:tcPr>
          <w:p>
            <w:pPr>
              <w:spacing w:line="240" w:lineRule="auto"/>
              <w:ind w:firstLine="8"/>
              <w:contextualSpacing/>
              <w:jc w:val="center"/>
              <w:rPr>
                <w:rFonts w:ascii="Times New Roman" w:hAnsi="Times New Roman" w:cs="Times New Roman"/>
                <w:b/>
                <w:sz w:val="26"/>
                <w:szCs w:val="26"/>
              </w:rPr>
            </w:pPr>
            <w:r>
              <w:rPr>
                <w:rFonts w:ascii="Times New Roman" w:hAnsi="Times New Roman" w:cs="Times New Roman"/>
                <w:b/>
                <w:sz w:val="26"/>
                <w:szCs w:val="26"/>
              </w:rPr>
              <w:t>Наименование выплаты</w:t>
            </w:r>
          </w:p>
        </w:tc>
        <w:tc>
          <w:tcPr>
            <w:tcW w:w="2367" w:type="dxa"/>
            <w:vAlign w:val="center"/>
          </w:tcPr>
          <w:p>
            <w:pPr>
              <w:spacing w:line="240" w:lineRule="auto"/>
              <w:ind w:hanging="9"/>
              <w:contextualSpacing/>
              <w:jc w:val="center"/>
              <w:rPr>
                <w:rFonts w:ascii="Times New Roman" w:hAnsi="Times New Roman" w:cs="Times New Roman"/>
                <w:b/>
                <w:sz w:val="26"/>
                <w:szCs w:val="26"/>
              </w:rPr>
            </w:pPr>
            <w:r>
              <w:rPr>
                <w:rFonts w:ascii="Times New Roman" w:hAnsi="Times New Roman" w:cs="Times New Roman"/>
                <w:b/>
                <w:sz w:val="26"/>
                <w:szCs w:val="26"/>
              </w:rPr>
              <w:t>Размер выплаты в 2018 году</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 xml:space="preserve">Денежные средства на содержание детей-сирот и детей, оставшихся без попечения родителей, воспитывающихся в семьях опекунов (попечителей) </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10 051</w:t>
            </w:r>
          </w:p>
        </w:tc>
      </w:tr>
      <w:tr>
        <w:tc>
          <w:tcPr>
            <w:tcW w:w="9889" w:type="dxa"/>
            <w:gridSpan w:val="2"/>
            <w:vAlign w:val="center"/>
          </w:tcPr>
          <w:p>
            <w:pPr>
              <w:spacing w:line="240" w:lineRule="auto"/>
              <w:ind w:firstLine="8"/>
              <w:contextualSpacing/>
              <w:jc w:val="center"/>
              <w:rPr>
                <w:rFonts w:ascii="Times New Roman" w:hAnsi="Times New Roman" w:cs="Times New Roman"/>
                <w:b/>
                <w:sz w:val="26"/>
                <w:szCs w:val="26"/>
              </w:rPr>
            </w:pPr>
            <w:r>
              <w:rPr>
                <w:rFonts w:ascii="Times New Roman" w:hAnsi="Times New Roman" w:cs="Times New Roman"/>
                <w:b/>
                <w:sz w:val="26"/>
                <w:szCs w:val="26"/>
              </w:rPr>
              <w:t>Вознаграждение приемным родителям</w:t>
            </w:r>
          </w:p>
        </w:tc>
      </w:tr>
      <w:t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за воспитание приемного ребенка в возрасте от 0-3 лет</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11 335</w:t>
            </w:r>
          </w:p>
        </w:tc>
      </w:tr>
      <w:tr>
        <w:tc>
          <w:tcPr>
            <w:tcW w:w="7522" w:type="dxa"/>
          </w:tcPr>
          <w:p>
            <w:pPr>
              <w:spacing w:line="240" w:lineRule="auto"/>
              <w:ind w:left="-720" w:firstLine="8"/>
              <w:contextualSpacing/>
              <w:jc w:val="both"/>
              <w:rPr>
                <w:rFonts w:ascii="Times New Roman" w:hAnsi="Times New Roman" w:cs="Times New Roman"/>
                <w:bCs/>
                <w:sz w:val="26"/>
                <w:szCs w:val="26"/>
              </w:rPr>
            </w:pPr>
            <w:r>
              <w:rPr>
                <w:rFonts w:ascii="Times New Roman" w:hAnsi="Times New Roman" w:cs="Times New Roman"/>
                <w:bCs/>
                <w:sz w:val="26"/>
                <w:szCs w:val="26"/>
              </w:rPr>
              <w:t>за воспитание приемного ребенка в возрасте от 3 до 18 лет</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9 447</w:t>
            </w:r>
          </w:p>
        </w:tc>
      </w:tr>
      <w:t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за воспитание приемного ребенка-инвалида </w:t>
            </w:r>
          </w:p>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(в возрасте от 0 до 3 лет)</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20 781</w:t>
            </w:r>
          </w:p>
        </w:tc>
      </w:tr>
      <w:t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за воспитание приемного ребенка-инвалида </w:t>
            </w:r>
          </w:p>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(в возрасте от 3 до 18 лет)</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8 890</w:t>
            </w:r>
          </w:p>
        </w:tc>
      </w:tr>
      <w:tr>
        <w:tc>
          <w:tcPr>
            <w:tcW w:w="9889" w:type="dxa"/>
            <w:gridSpan w:val="2"/>
          </w:tcPr>
          <w:p>
            <w:pPr>
              <w:spacing w:line="240" w:lineRule="auto"/>
              <w:ind w:firstLine="709"/>
              <w:contextualSpacing/>
              <w:jc w:val="center"/>
              <w:rPr>
                <w:rFonts w:ascii="Times New Roman" w:hAnsi="Times New Roman" w:cs="Times New Roman"/>
                <w:b/>
                <w:sz w:val="26"/>
                <w:szCs w:val="26"/>
                <w:lang w:val="en-US"/>
              </w:rPr>
            </w:pPr>
            <w:r>
              <w:rPr>
                <w:rFonts w:ascii="Times New Roman" w:hAnsi="Times New Roman" w:cs="Times New Roman"/>
                <w:b/>
                <w:bCs/>
                <w:sz w:val="26"/>
                <w:szCs w:val="26"/>
              </w:rPr>
              <w:t>Ежемесячная надбавка</w:t>
            </w:r>
          </w:p>
        </w:tc>
      </w:tr>
      <w:t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приемным родителям, </w:t>
            </w:r>
          </w:p>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имеющим награды Калужской области за воспитание детей</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 xml:space="preserve"> 689</w:t>
            </w:r>
          </w:p>
        </w:tc>
      </w:tr>
      <w:t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приемным родителям, имеющим государственные награды Российской Федерации за воспитание детей</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lang w:val="en-US"/>
              </w:rPr>
              <w:t>3</w:t>
            </w:r>
            <w:r>
              <w:rPr>
                <w:rFonts w:ascii="Times New Roman" w:hAnsi="Times New Roman" w:cs="Times New Roman"/>
                <w:sz w:val="26"/>
                <w:szCs w:val="26"/>
              </w:rPr>
              <w:t xml:space="preserve"> 376</w:t>
            </w:r>
          </w:p>
        </w:tc>
      </w:tr>
      <w:tr>
        <w:trPr>
          <w:trHeight w:val="553"/>
        </w:trPr>
        <w:tc>
          <w:tcPr>
            <w:tcW w:w="7522" w:type="dxa"/>
          </w:tcPr>
          <w:p>
            <w:pPr>
              <w:spacing w:line="240" w:lineRule="auto"/>
              <w:ind w:firstLine="8"/>
              <w:contextualSpacing/>
              <w:jc w:val="both"/>
              <w:rPr>
                <w:rFonts w:ascii="Times New Roman" w:hAnsi="Times New Roman" w:cs="Times New Roman"/>
                <w:bCs/>
                <w:sz w:val="26"/>
                <w:szCs w:val="26"/>
              </w:rPr>
            </w:pPr>
            <w:r>
              <w:rPr>
                <w:rFonts w:ascii="Times New Roman" w:hAnsi="Times New Roman" w:cs="Times New Roman"/>
                <w:bCs/>
                <w:sz w:val="26"/>
                <w:szCs w:val="26"/>
              </w:rPr>
              <w:t>Вознаграждение опекунам, исполняющим свои обязанности на возмездной основе</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lang w:val="en-US"/>
              </w:rPr>
              <w:t>5</w:t>
            </w:r>
            <w:r>
              <w:rPr>
                <w:rFonts w:ascii="Times New Roman" w:hAnsi="Times New Roman" w:cs="Times New Roman"/>
                <w:sz w:val="26"/>
                <w:szCs w:val="26"/>
              </w:rPr>
              <w:t xml:space="preserve"> 959</w:t>
            </w:r>
          </w:p>
        </w:tc>
      </w:tr>
      <w:tr>
        <w:tc>
          <w:tcPr>
            <w:tcW w:w="7522" w:type="dxa"/>
          </w:tcPr>
          <w:p>
            <w:pPr>
              <w:autoSpaceDE w:val="0"/>
              <w:autoSpaceDN w:val="0"/>
              <w:adjustRightInd w:val="0"/>
              <w:spacing w:line="240" w:lineRule="auto"/>
              <w:ind w:firstLine="8"/>
              <w:contextualSpacing/>
              <w:jc w:val="both"/>
              <w:rPr>
                <w:rFonts w:ascii="Times New Roman" w:hAnsi="Times New Roman" w:cs="Times New Roman"/>
                <w:sz w:val="26"/>
                <w:szCs w:val="26"/>
              </w:rPr>
            </w:pPr>
            <w:r>
              <w:rPr>
                <w:rFonts w:ascii="Times New Roman" w:hAnsi="Times New Roman" w:cs="Times New Roman"/>
                <w:sz w:val="26"/>
                <w:szCs w:val="26"/>
              </w:rPr>
              <w:t>Ежемесячный накопительный капитал детям-сиротам и детям, оставшимся без попечения родителей, в отношении которых родители (родитель) дали согласие на усыновление или в свидетельстве о рождении которых отсутствуют сведения о родителях</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Единовременная денежная выплата лицам из числа детей-сирот и детей, оставшихся без попечения родителей, в возрасте от 18 до 23 лет, а также иной категории лиц:</w:t>
            </w:r>
          </w:p>
          <w:p>
            <w:pPr>
              <w:spacing w:line="240" w:lineRule="auto"/>
              <w:ind w:firstLine="8"/>
              <w:contextualSpacing/>
              <w:rPr>
                <w:rFonts w:ascii="Times New Roman" w:hAnsi="Times New Roman" w:cs="Times New Roman"/>
                <w:bCs/>
                <w:sz w:val="26"/>
                <w:szCs w:val="26"/>
              </w:rPr>
            </w:pPr>
            <w:r>
              <w:rPr>
                <w:rFonts w:ascii="Times New Roman" w:hAnsi="Times New Roman" w:cs="Times New Roman"/>
                <w:bCs/>
                <w:sz w:val="26"/>
                <w:szCs w:val="26"/>
              </w:rPr>
              <w:t>-по окончании их пребывания в связи с достижением возраста 18 лет в приемной или опекунской семье;</w:t>
            </w:r>
          </w:p>
          <w:p>
            <w:pPr>
              <w:spacing w:line="240" w:lineRule="auto"/>
              <w:ind w:firstLine="8"/>
              <w:contextualSpacing/>
              <w:rPr>
                <w:rFonts w:ascii="Times New Roman" w:hAnsi="Times New Roman" w:cs="Times New Roman"/>
                <w:bCs/>
                <w:sz w:val="26"/>
                <w:szCs w:val="26"/>
              </w:rPr>
            </w:pPr>
            <w:r>
              <w:rPr>
                <w:rFonts w:ascii="Times New Roman" w:hAnsi="Times New Roman" w:cs="Times New Roman"/>
                <w:bCs/>
                <w:sz w:val="26"/>
                <w:szCs w:val="26"/>
              </w:rPr>
              <w:t>-при увольнении с военной службы в запас;</w:t>
            </w:r>
          </w:p>
          <w:p>
            <w:pPr>
              <w:spacing w:line="240" w:lineRule="auto"/>
              <w:ind w:firstLine="8"/>
              <w:contextualSpacing/>
              <w:rPr>
                <w:rFonts w:ascii="Times New Roman" w:hAnsi="Times New Roman" w:cs="Times New Roman"/>
                <w:bCs/>
                <w:sz w:val="26"/>
                <w:szCs w:val="26"/>
              </w:rPr>
            </w:pPr>
            <w:r>
              <w:rPr>
                <w:rFonts w:ascii="Times New Roman" w:hAnsi="Times New Roman" w:cs="Times New Roman"/>
                <w:bCs/>
                <w:sz w:val="26"/>
                <w:szCs w:val="26"/>
              </w:rPr>
              <w:t>-при первичном вступлении в брак;</w:t>
            </w:r>
          </w:p>
          <w:p>
            <w:pPr>
              <w:spacing w:line="240" w:lineRule="auto"/>
              <w:ind w:firstLine="8"/>
              <w:contextualSpacing/>
              <w:rPr>
                <w:rFonts w:ascii="Times New Roman" w:hAnsi="Times New Roman" w:cs="Times New Roman"/>
                <w:bCs/>
                <w:sz w:val="26"/>
                <w:szCs w:val="26"/>
              </w:rPr>
            </w:pPr>
            <w:r>
              <w:rPr>
                <w:rFonts w:ascii="Times New Roman" w:hAnsi="Times New Roman" w:cs="Times New Roman"/>
                <w:bCs/>
                <w:sz w:val="26"/>
                <w:szCs w:val="26"/>
              </w:rPr>
              <w:t>- на каждого рожденного ими ребенка</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10 000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Ежемесячная денежная выплата для иной категории лиц до окончания ими государственных образовательных учреждений, расположенных на территории Калужской области</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6 000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 xml:space="preserve">Единовременная денежная выплата выпускникам из числа иной категории лиц государственных образовательных учреждений, расположенных на территории Калужской области </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60 000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Единовременная денежная выплата одному из усыновителей при усыновлении детей-сирот и детей, оставшихся без попечения родителей (на каждого усыновленного ребенка)</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lang w:val="en-US"/>
              </w:rPr>
              <w:t>5</w:t>
            </w:r>
            <w:r>
              <w:rPr>
                <w:rFonts w:ascii="Times New Roman" w:hAnsi="Times New Roman" w:cs="Times New Roman"/>
                <w:sz w:val="26"/>
                <w:szCs w:val="26"/>
              </w:rPr>
              <w:t>0 000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Ежемесячное пособие усыновителям на содержание ребенка</w:t>
            </w:r>
          </w:p>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 при воспитании ребенка-инвалида или наличия инвалидности у усыновителя сумма выплаты удваивается</w:t>
            </w:r>
          </w:p>
        </w:tc>
        <w:tc>
          <w:tcPr>
            <w:tcW w:w="2367" w:type="dxa"/>
            <w:vAlign w:val="center"/>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3 000</w:t>
            </w:r>
          </w:p>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6 000</w:t>
            </w:r>
          </w:p>
        </w:tc>
      </w:tr>
      <w:tr>
        <w:tc>
          <w:tcPr>
            <w:tcW w:w="7522" w:type="dxa"/>
          </w:tcPr>
          <w:p>
            <w:pPr>
              <w:spacing w:line="240" w:lineRule="auto"/>
              <w:contextualSpacing/>
              <w:rPr>
                <w:rFonts w:ascii="Times New Roman" w:hAnsi="Times New Roman" w:cs="Times New Roman"/>
                <w:sz w:val="26"/>
                <w:szCs w:val="26"/>
              </w:rPr>
            </w:pPr>
            <w:r>
              <w:rPr>
                <w:rFonts w:ascii="Times New Roman" w:hAnsi="Times New Roman" w:cs="Times New Roman"/>
                <w:sz w:val="26"/>
                <w:szCs w:val="26"/>
              </w:rPr>
              <w:t>Единовременная денежная выплата на каждого усыновленного ребенка-инвалида, ребенка в возрасте старше семи лет, а также детей, являющихся братьями и (или) сестрами</w:t>
            </w:r>
          </w:p>
        </w:tc>
        <w:tc>
          <w:tcPr>
            <w:tcW w:w="2367" w:type="dxa"/>
            <w:vAlign w:val="center"/>
          </w:tcPr>
          <w:p>
            <w:pPr>
              <w:spacing w:line="240" w:lineRule="auto"/>
              <w:contextualSpacing/>
              <w:jc w:val="center"/>
              <w:rPr>
                <w:rFonts w:ascii="Times New Roman" w:hAnsi="Times New Roman" w:cs="Times New Roman"/>
                <w:sz w:val="26"/>
                <w:szCs w:val="26"/>
                <w:lang w:val="en-US"/>
              </w:rPr>
            </w:pPr>
            <w:r>
              <w:rPr>
                <w:rFonts w:ascii="Times New Roman" w:hAnsi="Times New Roman" w:cs="Times New Roman"/>
                <w:sz w:val="26"/>
                <w:szCs w:val="26"/>
                <w:lang w:val="en-US"/>
              </w:rPr>
              <w:t>100 000</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Единовременное пособие при передаче на воспитание ребенка в семью (из федерального бюджета)</w:t>
            </w:r>
          </w:p>
        </w:tc>
        <w:tc>
          <w:tcPr>
            <w:tcW w:w="2367" w:type="dxa"/>
            <w:vAlign w:val="center"/>
          </w:tcPr>
          <w:p>
            <w:pPr>
              <w:autoSpaceDE w:val="0"/>
              <w:autoSpaceDN w:val="0"/>
              <w:adjustRightInd w:val="0"/>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16 350,33</w:t>
            </w:r>
          </w:p>
        </w:tc>
      </w:tr>
      <w:tr>
        <w:tc>
          <w:tcPr>
            <w:tcW w:w="7522" w:type="dxa"/>
          </w:tcPr>
          <w:p>
            <w:pPr>
              <w:spacing w:line="240" w:lineRule="auto"/>
              <w:ind w:firstLine="8"/>
              <w:contextualSpacing/>
              <w:rPr>
                <w:rFonts w:ascii="Times New Roman" w:hAnsi="Times New Roman" w:cs="Times New Roman"/>
                <w:sz w:val="26"/>
                <w:szCs w:val="26"/>
              </w:rPr>
            </w:pPr>
            <w:r>
              <w:rPr>
                <w:rFonts w:ascii="Times New Roman" w:hAnsi="Times New Roman" w:cs="Times New Roman"/>
                <w:sz w:val="26"/>
                <w:szCs w:val="26"/>
              </w:rPr>
              <w:t xml:space="preserve">Единовременное пособие при передаче на воспитание ребенка в семью при усыновлении ребенка с 7 лет, братьев и сестер, детей-инвалидов (из федерального бюджета) </w:t>
            </w:r>
          </w:p>
        </w:tc>
        <w:tc>
          <w:tcPr>
            <w:tcW w:w="2367" w:type="dxa"/>
            <w:vAlign w:val="center"/>
          </w:tcPr>
          <w:p>
            <w:pPr>
              <w:autoSpaceDE w:val="0"/>
              <w:autoSpaceDN w:val="0"/>
              <w:adjustRightInd w:val="0"/>
              <w:spacing w:line="240" w:lineRule="auto"/>
              <w:ind w:left="1267" w:hanging="1267"/>
              <w:contextualSpacing/>
              <w:jc w:val="center"/>
              <w:rPr>
                <w:rFonts w:ascii="Times New Roman" w:hAnsi="Times New Roman" w:cs="Times New Roman"/>
                <w:sz w:val="26"/>
                <w:szCs w:val="26"/>
              </w:rPr>
            </w:pPr>
            <w:r>
              <w:rPr>
                <w:rFonts w:ascii="Times New Roman" w:hAnsi="Times New Roman" w:cs="Times New Roman"/>
                <w:sz w:val="26"/>
                <w:szCs w:val="26"/>
              </w:rPr>
              <w:t>124 929,83</w:t>
            </w:r>
          </w:p>
        </w:tc>
      </w:tr>
    </w:tbl>
    <w:p>
      <w:pPr>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адрес Уполномоченного в 2018 году поступило 19 письменных обращений в сфере защиты прав и законных интересов ребенка на социальное обеспечение, что намного ниже показателя предыдущего года.</w:t>
      </w:r>
    </w:p>
    <w:p>
      <w:pPr>
        <w:spacing w:line="240" w:lineRule="auto"/>
        <w:ind w:firstLine="709"/>
        <w:contextualSpacing/>
        <w:jc w:val="right"/>
        <w:rPr>
          <w:rFonts w:ascii="Times New Roman" w:eastAsia="Calibri" w:hAnsi="Times New Roman" w:cs="Times New Roman"/>
          <w:b/>
          <w:i/>
          <w:sz w:val="26"/>
          <w:szCs w:val="26"/>
        </w:rPr>
      </w:pPr>
      <w:r>
        <w:rPr>
          <w:rFonts w:ascii="Times New Roman" w:eastAsia="Calibri" w:hAnsi="Times New Roman" w:cs="Times New Roman"/>
          <w:b/>
          <w:i/>
          <w:sz w:val="26"/>
          <w:szCs w:val="26"/>
        </w:rPr>
        <w:t>Таблица № 17</w:t>
      </w:r>
    </w:p>
    <w:p>
      <w:pPr>
        <w:spacing w:line="240" w:lineRule="auto"/>
        <w:ind w:firstLine="709"/>
        <w:contextualSpacing/>
        <w:jc w:val="both"/>
        <w:rPr>
          <w:rFonts w:ascii="Times New Roman" w:eastAsia="Calibri" w:hAnsi="Times New Roman" w:cs="Times New Roman"/>
          <w:sz w:val="26"/>
          <w:szCs w:val="26"/>
        </w:rPr>
      </w:pPr>
    </w:p>
    <w:p>
      <w:pPr>
        <w:spacing w:line="240" w:lineRule="auto"/>
        <w:ind w:firstLine="709"/>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p>
      <w:pPr>
        <w:spacing w:line="240" w:lineRule="auto"/>
        <w:ind w:firstLine="709"/>
        <w:contextualSpacing/>
        <w:jc w:val="center"/>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462"/>
        <w:gridCol w:w="1671"/>
        <w:gridCol w:w="1696"/>
        <w:gridCol w:w="1721"/>
      </w:tblGrid>
      <w:tr>
        <w:trPr>
          <w:trHeight w:val="914"/>
        </w:trPr>
        <w:tc>
          <w:tcPr>
            <w:tcW w:w="588" w:type="dxa"/>
            <w:vAlign w:val="center"/>
          </w:tcPr>
          <w:p>
            <w:pPr>
              <w:spacing w:line="240" w:lineRule="auto"/>
              <w:ind w:firstLine="709"/>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 п/п</w:t>
            </w:r>
          </w:p>
        </w:tc>
        <w:tc>
          <w:tcPr>
            <w:tcW w:w="4462" w:type="dxa"/>
            <w:shd w:val="clear" w:color="auto" w:fill="auto"/>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b/>
                <w:sz w:val="26"/>
                <w:szCs w:val="26"/>
              </w:rPr>
              <w:t>Категория обращения</w:t>
            </w:r>
          </w:p>
        </w:tc>
        <w:tc>
          <w:tcPr>
            <w:tcW w:w="1671" w:type="dxa"/>
            <w:shd w:val="clear" w:color="auto" w:fill="auto"/>
            <w:vAlign w:val="center"/>
          </w:tcPr>
          <w:p>
            <w:pPr>
              <w:spacing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обращений в 2017 году</w:t>
            </w:r>
          </w:p>
        </w:tc>
        <w:tc>
          <w:tcPr>
            <w:tcW w:w="1696" w:type="dxa"/>
            <w:vAlign w:val="center"/>
          </w:tcPr>
          <w:p>
            <w:pPr>
              <w:spacing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обращений в 2018 году</w:t>
            </w:r>
          </w:p>
        </w:tc>
        <w:tc>
          <w:tcPr>
            <w:tcW w:w="1721" w:type="dxa"/>
            <w:vAlign w:val="center"/>
          </w:tcPr>
          <w:p>
            <w:pPr>
              <w:autoSpaceDE w:val="0"/>
              <w:autoSpaceDN w:val="0"/>
              <w:adjustRightInd w:val="0"/>
              <w:spacing w:line="240" w:lineRule="auto"/>
              <w:contextualSpacing/>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Динамика поступления обращений,</w:t>
            </w:r>
          </w:p>
          <w:p>
            <w:pPr>
              <w:spacing w:line="240" w:lineRule="auto"/>
              <w:ind w:firstLine="709"/>
              <w:contextualSpacing/>
              <w:jc w:val="center"/>
              <w:rPr>
                <w:rFonts w:ascii="Times New Roman" w:eastAsia="Calibri" w:hAnsi="Times New Roman" w:cs="Times New Roman"/>
                <w:b/>
                <w:sz w:val="26"/>
                <w:szCs w:val="26"/>
              </w:rPr>
            </w:pPr>
            <w:r>
              <w:rPr>
                <w:rFonts w:ascii="Times New Roman" w:hAnsi="Times New Roman" w:cs="Times New Roman"/>
                <w:b/>
                <w:bCs/>
                <w:color w:val="000000"/>
                <w:sz w:val="26"/>
                <w:szCs w:val="26"/>
              </w:rPr>
              <w:t>+/- %</w:t>
            </w:r>
          </w:p>
        </w:tc>
      </w:tr>
      <w:tr>
        <w:tc>
          <w:tcPr>
            <w:tcW w:w="588" w:type="dxa"/>
          </w:tcPr>
          <w:p>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4462" w:type="dxa"/>
            <w:shd w:val="clear" w:color="auto" w:fill="auto"/>
          </w:tcPr>
          <w:p>
            <w:pPr>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Получение социальных пособий и льгот</w:t>
            </w:r>
          </w:p>
        </w:tc>
        <w:tc>
          <w:tcPr>
            <w:tcW w:w="1671" w:type="dxa"/>
            <w:shd w:val="clear" w:color="auto" w:fill="auto"/>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31</w:t>
            </w:r>
          </w:p>
        </w:tc>
        <w:tc>
          <w:tcPr>
            <w:tcW w:w="1696" w:type="dxa"/>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19</w:t>
            </w:r>
          </w:p>
        </w:tc>
        <w:tc>
          <w:tcPr>
            <w:tcW w:w="1721" w:type="dxa"/>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-38,7</w:t>
            </w:r>
          </w:p>
        </w:tc>
      </w:tr>
      <w:tr>
        <w:tc>
          <w:tcPr>
            <w:tcW w:w="588" w:type="dxa"/>
          </w:tcPr>
          <w:p>
            <w:pPr>
              <w:spacing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22.</w:t>
            </w:r>
          </w:p>
        </w:tc>
        <w:tc>
          <w:tcPr>
            <w:tcW w:w="4462" w:type="dxa"/>
            <w:shd w:val="clear" w:color="auto" w:fill="auto"/>
          </w:tcPr>
          <w:p>
            <w:pPr>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Получение материальной помощи</w:t>
            </w:r>
          </w:p>
        </w:tc>
        <w:tc>
          <w:tcPr>
            <w:tcW w:w="1671" w:type="dxa"/>
            <w:shd w:val="clear" w:color="auto" w:fill="auto"/>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696" w:type="dxa"/>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721" w:type="dxa"/>
            <w:vAlign w:val="center"/>
          </w:tcPr>
          <w:p>
            <w:pPr>
              <w:spacing w:line="24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-100,0</w:t>
            </w:r>
          </w:p>
        </w:tc>
      </w:tr>
      <w:tr>
        <w:tc>
          <w:tcPr>
            <w:tcW w:w="5050" w:type="dxa"/>
            <w:gridSpan w:val="2"/>
          </w:tcPr>
          <w:p>
            <w:pPr>
              <w:spacing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671" w:type="dxa"/>
            <w:shd w:val="clear" w:color="auto" w:fill="auto"/>
            <w:vAlign w:val="center"/>
          </w:tcPr>
          <w:p>
            <w:pPr>
              <w:spacing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34</w:t>
            </w:r>
          </w:p>
        </w:tc>
        <w:tc>
          <w:tcPr>
            <w:tcW w:w="1696" w:type="dxa"/>
            <w:vAlign w:val="center"/>
          </w:tcPr>
          <w:p>
            <w:pPr>
              <w:spacing w:line="240" w:lineRule="auto"/>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19</w:t>
            </w:r>
          </w:p>
        </w:tc>
        <w:tc>
          <w:tcPr>
            <w:tcW w:w="1721" w:type="dxa"/>
            <w:vAlign w:val="center"/>
          </w:tcPr>
          <w:p>
            <w:pPr>
              <w:spacing w:line="240" w:lineRule="auto"/>
              <w:contextualSpacing/>
              <w:jc w:val="right"/>
              <w:rPr>
                <w:rFonts w:ascii="Times New Roman" w:eastAsia="Calibri" w:hAnsi="Times New Roman" w:cs="Times New Roman"/>
                <w:b/>
                <w:sz w:val="26"/>
                <w:szCs w:val="26"/>
              </w:rPr>
            </w:pPr>
            <w:r>
              <w:rPr>
                <w:rFonts w:ascii="Times New Roman" w:eastAsia="Calibri" w:hAnsi="Times New Roman" w:cs="Times New Roman"/>
                <w:b/>
                <w:sz w:val="26"/>
                <w:szCs w:val="26"/>
              </w:rPr>
              <w:t xml:space="preserve">-44,1 </w:t>
            </w:r>
          </w:p>
        </w:tc>
      </w:tr>
    </w:tbl>
    <w:p>
      <w:pPr>
        <w:spacing w:line="240" w:lineRule="auto"/>
        <w:ind w:firstLine="709"/>
        <w:contextualSpacing/>
        <w:jc w:val="both"/>
        <w:rPr>
          <w:rFonts w:ascii="Times New Roman" w:eastAsia="Calibri" w:hAnsi="Times New Roman" w:cs="Times New Roman"/>
          <w:sz w:val="26"/>
          <w:szCs w:val="26"/>
        </w:rPr>
      </w:pP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Резкое снижение числа обращений в сфере защиты прав и законных интересов ребенка на социальное обеспечение свидетельствует о значительном улучшении экономической стабильности экономики региона, что в свою очередь позволит в будущем «держать планку» на несколько уровней выше.</w:t>
      </w:r>
    </w:p>
    <w:p>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За истекший период в адрес Уполномоченного не поступило ни одного обращения, по результатам рассмотрения которого были бы выявлены нарушения прав граждан на социальное обеспечение со стороны уполномоченных органов в сфере социального обеспечения.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соответствии с положениями ст. 19 Федерального закона от 30.03.1995 № 38-ФЗ «О предупреждении распространения в Российской Федерации заболевания, вызываемого вирусом иммунодефицита человека (ВИЧ-инфекции)» ВИЧ-инфицированным - несовершеннолетним в возрасте до 18 лет назначается социальная пенсия и предоставляются меры социальной поддержки, установленные для детей-инвалидов законодательством Российской Федерации, а трудоспособным неработающим лицам, осуществляющим уход за ВИЧ-инфицированными – несовершеннолетними, устанавливается ежемесячная компенсационная выплата.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этом следует иметь ввиду, что назначение ВИЧ-инфицированным - несовершеннолетним социальной пенсии, ежемесячных денежных выплат, а неработающим трудоспособным лицам, осуществляющим уход за ВИЧ-инфицированными – несовершеннолетними, – ежемесячной компенсационной выплаты не зависит от факта признания ВИЧ-инфицированных – несовершеннолетних инвалидами и установления им категории «ребёнок-инвалид».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Согласно положениям Закона Калужской области от 02.12.2008 № 498-ОЗ «О выплате вознаграждения опекунам или попечителям и о внесении изменений в отдельные законодательные акты Калужской области» и Закона Калужской области от 20.10.1997 № 18-ОЗ «О социальных гарантиях приемным семьям в Калужской области», неработающим трудоспособным лицам, осуществляющим уход за ребенком-инвалидом назначаются вознаграждения в размерах 5 959,00 руб. ежемесячно и 20 781,00 руб. ежемесячно (за воспитание приемного ребенка-инвалида в возрасте от 0 до 3 лет), 18 890,00 руб. ежемесячно (за воспитание приемного ребенка-инвалида в возрасте от 3 до 18 лет) соответственно.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указанных региональных законах отсутствуют указания на осуществление выплат сумм вознаграждения опекунам или приемным родителям, осуществляющим уход за ВИЧ-инфицированными – несовершеннолетними.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Таким образом складывается ситуация при которой дети-инвалиды и ВИЧ-инфицированные – несовершеннолетние обладают равным набором мер социальной поддержки, а вот суммы вознаграждений трудоспособным неработающим лицам, осуществляющим уход за данными категориями детей назначены только лицам, осуществляющим уход за детьми-инвалидами.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Если обратиться к законодательству других регионов Российской Федерации, то например, в Законе Иркутской области от 07.12.2009 года № 92/58-ОЗ «Об отдельных вопросах осуществления деятельности по опеке и попечительству в Иркутской области» сказано, что «Размер вознаграждения приемным родителям увеличивается на 25 процентов за каждого принятого на воспитание в приемную семью ребенка, не достигшего трехлетнего возраста, ребенка с ограниченными возможностями здоровья, ребенка-инвалида либо ВИЧ-инфицированного ребенка».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Введение данной меры социальной поддержки в Калужской области не повлечет за собой существенное увеличение расходов бюджета Калужской области, поскольку на территории Калужской области, по состоянию на конец 2018 года, проживает незначительное число ВИЧ-инфицированных несовершеннолетних детей.</w:t>
      </w:r>
    </w:p>
    <w:p>
      <w:pPr>
        <w:spacing w:line="36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t>2.8. ПРАВО РЕБЕНКА В МИГРАЦИОННОЙ СФЕРЕ</w:t>
      </w:r>
    </w:p>
    <w:p>
      <w:pPr>
        <w:suppressAutoHyphens/>
        <w:spacing w:after="0" w:line="240" w:lineRule="auto"/>
        <w:ind w:right="-284" w:firstLine="709"/>
        <w:contextualSpacing/>
        <w:jc w:val="center"/>
        <w:rPr>
          <w:rFonts w:ascii="Times New Roman" w:eastAsia="Times New Roman" w:hAnsi="Times New Roman" w:cs="Times New Roman"/>
          <w:b/>
          <w:sz w:val="26"/>
          <w:szCs w:val="26"/>
          <w:lang w:eastAsia="ru-RU"/>
        </w:rPr>
      </w:pP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Чужих детей не бывает! Уполномоченным проводится работа по защите прав, как маленьких граждан Российской Федерации, так и иностранных государств.</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Согласно статистическим данным</w:t>
      </w:r>
      <w:r>
        <w:rPr>
          <w:rFonts w:ascii="Times New Roman" w:eastAsia="Times New Roman" w:hAnsi="Times New Roman" w:cs="Times New Roman"/>
          <w:sz w:val="26"/>
          <w:szCs w:val="26"/>
          <w:lang w:eastAsia="ru-RU"/>
        </w:rPr>
        <w:t xml:space="preserve"> по состоянию на 01.01.2019 на территории Калужской области постоянно проживают 2 368 несовершеннолетних граждан СНГ, обучающихся в школах региона (по состоянию на 01.01.2018 – 2 364).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Значительная часть иностранных граждан по разным (семейным, социальным, экономическим, политическим и личным) причинам эмигрирует в Россию и выбирает Калужскую область для постоянного проживания.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сожалению, в Управлении по вопросам миграции УМВД России по Калужской области отдельный учет несовершеннолетних иностранных граждан (далее ИГ) и лиц без гражданства (далее – ЛБГ), получивших разрешение на временное проживание и вид на жительство не ведется. Однако, с учетом возрастающего количества обращений граждан по вопросам реализации права на получение разрешения на временное проживание (далее – РВП) или вида на жительства (далее – ВЖ), смело можно предположить, что количество несовершеннолетних получивших РВП и ВЖ в 2018 году возросло.</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Конечно, финальным «аккордом» в эмиграции становится получение гражданства Российской Федерации. Так, в 2018 году на территории Калужской области 3 240 несовершеннолетних приобрели гражданство Российской Федерации (в 2017 году – 2 725 несовершеннолетних).</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п. 45 Указа Президента Российской Федерации от 14.11.2002             № 1325 «Об утверждении Положения о порядке рассмотрения вопросов гражданства Российской Федерации» </w:t>
      </w:r>
      <w:bookmarkStart w:id="3" w:name="dst12"/>
      <w:bookmarkEnd w:id="3"/>
      <w:r>
        <w:rPr>
          <w:rFonts w:ascii="Times New Roman" w:eastAsia="Times New Roman" w:hAnsi="Times New Roman" w:cs="Times New Roman"/>
          <w:sz w:val="26"/>
          <w:szCs w:val="26"/>
          <w:lang w:eastAsia="ru-RU"/>
        </w:rPr>
        <w:t>наличие гражданства Российской Федерации удостоверяется, среди прочего, паспортом гражданина РФ. Общегражданский паспорт обязаны иметь все граждане Российской Федерации, достигшие 14 лет и проживающие на территории Российской Федерации. На территории Калужской области в 2018 году 9 153 несовершеннолетних документированы паспортом гражданина Российской Федерации (в 2017 году – 8 562).</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в сфере миграционного законодательства.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Но отдельная статистика несовершеннолетних (как иностранных граждан, так и граждан Российской Федерации), совершивших правонарушение, влекущее за собой административную ответственность (к примеру, нарушение режима пребывания (проживания) в Российской Федерации), также как депортированных или выдворенных за пределы Российской Федерации в управлении по вопросам миграции УМВД России по Калужской области не ведется.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Над решением проблем ИГ работают различные государственные органы. При этом единой структуры, которая занималась бы решением проблем несовершеннолетних ИГ, не существует.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 2018 год к Уполномоченному обратилось 183 семьи, в которых воспитываются  несовершеннолетние и в которых хотя бы один из членов является иностранным гражданином или лицом без гражданства. Из них 137 семей получили разовую консультацию сотрудника аппарата Уполномоченного.</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основном ИГ и ЛБГ обращаются в аппарат Уполномоченного 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Содействие в получении разрешения на временное проживание, вида на жительство и сборе документов для получения гражданства оказано 46 семьям.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Уполномоченному обратилась гражданка Н., являющаяся попечителем несовершеннолетнего гражданина Украины, с просьбой о содействии в получении гражданства РФ её подопечным. На протяжении двух лет Н. неоднократно подавала документы в отделение по вопросам  миграции для оформления гражданства подопечному. Однако решение принято так и не было. В результате слаженной работы сотрудников аппарата Уполномоченного несовершеннолетний приобрел гражданство РФ и документирован паспортом.</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большинстве своем, ИГ не знают законов, культуры и традиций РФ, что влечет за собой их неисполнение, а соответственно и проблемы с органами государственной власти.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тому же, в какой-то мере это провоцирует конфликты на национальной почве между мигрантами и гражданами РФ и весьма сильно усложняет процесс вливания в социум Калужской области.</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Кроме того, не существует единой системы статистики по несовершеннолетним ИГ и ЛБГ. Отраслевые ведомства имеют различную информацию, которая может не совпадать.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2018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Подводя итоги вышесказанному, можно сделать вывод, что урегулирование любой из возможных ситуаций, касающихся семейных отношений с участием ИГ,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средств для преодоления законодательных пробелов в семейной сфере.</w:t>
      </w:r>
    </w:p>
    <w:p>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2.9. ПРОФИЛАКТИКА ПРЕСТУПЛЕНИЙ И ПРАВОНАРУШЕНИЙ НЕСОВЕРШЕННОЛЕТНИХ</w:t>
      </w:r>
    </w:p>
    <w:p>
      <w:pPr>
        <w:spacing w:line="240" w:lineRule="auto"/>
        <w:contextualSpacing/>
        <w:jc w:val="center"/>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Одной из самых актуальных задач, стоящих перед нами сегодня, является снижение роста преступлений среди несовершеннолетних и эффективность профилактики. Необходимость решения этой задачи, указанной также в Плане по реализации Десятилетия детства, вызвана тем, что в сферу организованной преступности втягивается все больше и больше несовершеннолетних. Продуктивность данной работы бесспорно влияет на социальное благополучие нашего общества.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На территории Калужской области за 2018 год наблюдается незначительный рост преступлений, совершенных несовершеннолетними и с их участием, на 1 % (с 393 за 2017 год до 397 за 2018 год). Рост данного показателя отмечен в 11 муниципальных районах и городском округе «Город Обнинск»,  в 9 муниципальных образованиях и городском округе «Город Калуга» произошло снижение количества преступлений, совершенных несовершеннолетними лицами и с их участием (таблица № 18).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несовершеннолетних, совершивших преступления, увеличилось по Калужской области на 1,7 % (с 290 человек в 2017 году до 295 человек в 2018 году). Рост данного показателя наблюдается в 6 муниципальных районах, в 11 муниципальных районах и 2 городских округах отмечено снижение количества несовершеннолетних совершивших преступления.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Значительный рост количества преступлений, совершенных несовершеннолетними лицами и с их участием, и количества несовершеннолетних, совершивших преступления, наблюдается в Боровском, Кировском, Козельском, Людиновском и Малоярославецком районах.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Положительные результаты по профилактике совершения несовершеннолетними лицами достигнуты в г. Калуге, в Жиздринском, Спас-Деменском, Хвастовичском и Юхновском районах.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Удельный вес преступлений с участием несовершеннолетних вырос в регионе с      3,8% до 4,2%. Наибольшее значение данный показатель имеет в Людиновском (14,2%), Тарусском (5,5%), Малоярославецком (5,2%) районах.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Преступления совершаются несовершеннолетними в основном по месту своего жительства - 96,2 % (96,4 % в 2017 году).</w:t>
      </w: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p>
    <w:p>
      <w:pPr>
        <w:spacing w:line="240" w:lineRule="auto"/>
        <w:contextualSpacing/>
        <w:jc w:val="right"/>
        <w:rPr>
          <w:rFonts w:ascii="Times New Roman" w:hAnsi="Times New Roman" w:cs="Times New Roman"/>
          <w:b/>
          <w:i/>
          <w:sz w:val="26"/>
          <w:szCs w:val="26"/>
        </w:rPr>
      </w:pPr>
      <w:r>
        <w:rPr>
          <w:rFonts w:ascii="Times New Roman" w:hAnsi="Times New Roman" w:cs="Times New Roman"/>
          <w:b/>
          <w:i/>
          <w:sz w:val="26"/>
          <w:szCs w:val="26"/>
        </w:rPr>
        <w:t xml:space="preserve">Таблица № 18 </w:t>
      </w:r>
    </w:p>
    <w:p>
      <w:pPr>
        <w:spacing w:line="240" w:lineRule="auto"/>
        <w:contextualSpacing/>
        <w:jc w:val="right"/>
        <w:rPr>
          <w:rFonts w:ascii="Times New Roman" w:hAnsi="Times New Roman" w:cs="Times New Roman"/>
          <w:b/>
          <w:i/>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Количество совершенных несовершеннолетними лицами преступлений и количество участников, совершивших их</w:t>
      </w:r>
    </w:p>
    <w:p>
      <w:pPr>
        <w:spacing w:line="240" w:lineRule="auto"/>
        <w:contextualSpacing/>
        <w:jc w:val="center"/>
        <w:rPr>
          <w:rFonts w:ascii="Times New Roman" w:hAnsi="Times New Roman" w:cs="Times New Roman"/>
          <w:b/>
          <w:sz w:val="26"/>
          <w:szCs w:val="26"/>
        </w:rPr>
      </w:pPr>
    </w:p>
    <w:tbl>
      <w:tblPr>
        <w:tblW w:w="10142" w:type="dxa"/>
        <w:tblInd w:w="93" w:type="dxa"/>
        <w:tblLook w:val="04A0" w:firstRow="1" w:lastRow="0" w:firstColumn="1" w:lastColumn="0" w:noHBand="0" w:noVBand="1"/>
      </w:tblPr>
      <w:tblGrid>
        <w:gridCol w:w="4268"/>
        <w:gridCol w:w="979"/>
        <w:gridCol w:w="979"/>
        <w:gridCol w:w="979"/>
        <w:gridCol w:w="979"/>
        <w:gridCol w:w="979"/>
        <w:gridCol w:w="979"/>
      </w:tblGrid>
      <w:tr>
        <w:trPr>
          <w:trHeight w:val="300"/>
        </w:trPr>
        <w:tc>
          <w:tcPr>
            <w:tcW w:w="4268" w:type="dxa"/>
            <w:tcBorders>
              <w:top w:val="single" w:sz="4" w:space="0" w:color="auto"/>
              <w:left w:val="single" w:sz="4" w:space="0" w:color="auto"/>
              <w:bottom w:val="nil"/>
              <w:right w:val="single" w:sz="4" w:space="0" w:color="auto"/>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w:t>
            </w:r>
          </w:p>
        </w:tc>
        <w:tc>
          <w:tcPr>
            <w:tcW w:w="1958" w:type="dxa"/>
            <w:gridSpan w:val="2"/>
            <w:vMerge w:val="restart"/>
            <w:tcBorders>
              <w:top w:val="single" w:sz="8" w:space="0" w:color="auto"/>
              <w:left w:val="nil"/>
              <w:bottom w:val="single" w:sz="4" w:space="0" w:color="auto"/>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Преступления</w:t>
            </w:r>
          </w:p>
        </w:tc>
        <w:tc>
          <w:tcPr>
            <w:tcW w:w="97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  в % </w:t>
            </w:r>
          </w:p>
        </w:tc>
        <w:tc>
          <w:tcPr>
            <w:tcW w:w="1958"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Участники</w:t>
            </w:r>
          </w:p>
        </w:tc>
        <w:tc>
          <w:tcPr>
            <w:tcW w:w="97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  в %</w:t>
            </w:r>
          </w:p>
        </w:tc>
      </w:tr>
      <w:tr>
        <w:trPr>
          <w:trHeight w:val="300"/>
        </w:trPr>
        <w:tc>
          <w:tcPr>
            <w:tcW w:w="4268" w:type="dxa"/>
            <w:tcBorders>
              <w:top w:val="nil"/>
              <w:left w:val="single" w:sz="4" w:space="0" w:color="auto"/>
              <w:bottom w:val="nil"/>
              <w:right w:val="single" w:sz="4" w:space="0" w:color="auto"/>
            </w:tcBorders>
            <w:shd w:val="clear" w:color="auto" w:fill="auto"/>
            <w:noWrap/>
            <w:vAlign w:val="bottom"/>
            <w:hideMark/>
          </w:tcPr>
          <w:p>
            <w:pPr>
              <w:spacing w:line="240" w:lineRule="auto"/>
              <w:contextualSpacing/>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Муниципальный район/Городской округ</w:t>
            </w:r>
          </w:p>
        </w:tc>
        <w:tc>
          <w:tcPr>
            <w:tcW w:w="195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
                <w:bCs/>
                <w:sz w:val="26"/>
                <w:szCs w:val="26"/>
                <w:lang w:eastAsia="ru-RU"/>
              </w:rPr>
            </w:pPr>
          </w:p>
        </w:tc>
        <w:tc>
          <w:tcPr>
            <w:tcW w:w="979" w:type="dxa"/>
            <w:vMerge/>
            <w:tcBorders>
              <w:top w:val="single" w:sz="8" w:space="0" w:color="auto"/>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
                <w:bCs/>
                <w:sz w:val="26"/>
                <w:szCs w:val="26"/>
                <w:lang w:eastAsia="ru-RU"/>
              </w:rPr>
            </w:pPr>
          </w:p>
        </w:tc>
        <w:tc>
          <w:tcPr>
            <w:tcW w:w="1958" w:type="dxa"/>
            <w:gridSpan w:val="2"/>
            <w:vMerge/>
            <w:tcBorders>
              <w:top w:val="single" w:sz="8" w:space="0" w:color="auto"/>
              <w:left w:val="single" w:sz="4" w:space="0" w:color="auto"/>
              <w:bottom w:val="single" w:sz="4" w:space="0" w:color="auto"/>
              <w:right w:val="single" w:sz="4" w:space="0" w:color="auto"/>
            </w:tcBorders>
            <w:vAlign w:val="center"/>
            <w:hideMark/>
          </w:tcPr>
          <w:p>
            <w:pPr>
              <w:spacing w:line="240" w:lineRule="auto"/>
              <w:contextualSpacing/>
              <w:jc w:val="both"/>
              <w:rPr>
                <w:rFonts w:ascii="Times New Roman" w:eastAsia="Times New Roman" w:hAnsi="Times New Roman" w:cs="Times New Roman"/>
                <w:b/>
                <w:bCs/>
                <w:sz w:val="26"/>
                <w:szCs w:val="26"/>
                <w:lang w:eastAsia="ru-RU"/>
              </w:rPr>
            </w:pPr>
          </w:p>
        </w:tc>
        <w:tc>
          <w:tcPr>
            <w:tcW w:w="979" w:type="dxa"/>
            <w:vMerge/>
            <w:tcBorders>
              <w:top w:val="single" w:sz="8" w:space="0" w:color="auto"/>
              <w:left w:val="single" w:sz="4" w:space="0" w:color="auto"/>
              <w:bottom w:val="single" w:sz="4" w:space="0" w:color="auto"/>
              <w:right w:val="single" w:sz="8" w:space="0" w:color="auto"/>
            </w:tcBorders>
            <w:vAlign w:val="center"/>
            <w:hideMark/>
          </w:tcPr>
          <w:p>
            <w:pPr>
              <w:spacing w:line="240" w:lineRule="auto"/>
              <w:contextualSpacing/>
              <w:jc w:val="both"/>
              <w:rPr>
                <w:rFonts w:ascii="Times New Roman" w:eastAsia="Times New Roman" w:hAnsi="Times New Roman" w:cs="Times New Roman"/>
                <w:b/>
                <w:bCs/>
                <w:sz w:val="26"/>
                <w:szCs w:val="26"/>
                <w:lang w:eastAsia="ru-RU"/>
              </w:rPr>
            </w:pPr>
          </w:p>
        </w:tc>
      </w:tr>
      <w:tr>
        <w:trPr>
          <w:trHeight w:val="227"/>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2017</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2018</w:t>
            </w:r>
          </w:p>
        </w:tc>
        <w:tc>
          <w:tcPr>
            <w:tcW w:w="979" w:type="dxa"/>
            <w:vMerge/>
            <w:tcBorders>
              <w:top w:val="single" w:sz="8" w:space="0" w:color="auto"/>
              <w:left w:val="single" w:sz="4" w:space="0" w:color="auto"/>
              <w:bottom w:val="single" w:sz="4" w:space="0" w:color="auto"/>
              <w:right w:val="single" w:sz="4" w:space="0" w:color="auto"/>
            </w:tcBorders>
            <w:vAlign w:val="center"/>
            <w:hideMark/>
          </w:tcPr>
          <w:p>
            <w:pPr>
              <w:spacing w:line="240" w:lineRule="auto"/>
              <w:contextualSpacing/>
              <w:jc w:val="center"/>
              <w:rPr>
                <w:rFonts w:ascii="Times New Roman" w:eastAsia="Times New Roman" w:hAnsi="Times New Roman" w:cs="Times New Roman"/>
                <w:b/>
                <w:bCs/>
                <w:sz w:val="26"/>
                <w:szCs w:val="26"/>
                <w:lang w:eastAsia="ru-RU"/>
              </w:rPr>
            </w:pP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2018</w:t>
            </w:r>
          </w:p>
        </w:tc>
        <w:tc>
          <w:tcPr>
            <w:tcW w:w="979" w:type="dxa"/>
            <w:vMerge/>
            <w:tcBorders>
              <w:top w:val="single" w:sz="8" w:space="0" w:color="auto"/>
              <w:left w:val="single" w:sz="4" w:space="0" w:color="auto"/>
              <w:bottom w:val="single" w:sz="4" w:space="0" w:color="auto"/>
              <w:right w:val="single" w:sz="8" w:space="0" w:color="auto"/>
            </w:tcBorders>
            <w:vAlign w:val="center"/>
            <w:hideMark/>
          </w:tcPr>
          <w:p>
            <w:pPr>
              <w:spacing w:line="240" w:lineRule="auto"/>
              <w:contextualSpacing/>
              <w:jc w:val="both"/>
              <w:rPr>
                <w:rFonts w:ascii="Times New Roman" w:eastAsia="Times New Roman" w:hAnsi="Times New Roman" w:cs="Times New Roman"/>
                <w:b/>
                <w:bCs/>
                <w:sz w:val="26"/>
                <w:szCs w:val="26"/>
                <w:lang w:eastAsia="ru-RU"/>
              </w:rPr>
            </w:pPr>
          </w:p>
        </w:tc>
      </w:tr>
      <w:tr>
        <w:trPr>
          <w:trHeigh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Область</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393</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397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Обнинск    </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-55.2</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Калуга</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-35.9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94</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Бабынинский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-11.1</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Барятинский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Боровский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28,6</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133,3</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Дзержинский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Думиничский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Жиздринский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Жуковский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-4.3</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Износковский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Город Киров и Кировский район </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225,0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Козельский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92,3</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Куйбышевский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-66.7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-33.3</w:t>
            </w:r>
          </w:p>
        </w:tc>
      </w:tr>
      <w:tr>
        <w:trPr>
          <w:trHeight w:hRule="exact" w:val="623"/>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Город Людиново и Людиновский район</w:t>
            </w:r>
          </w:p>
          <w:p>
            <w:pPr>
              <w:spacing w:line="240" w:lineRule="auto"/>
              <w:contextualSpacing/>
              <w:jc w:val="both"/>
              <w:rPr>
                <w:rFonts w:ascii="Times New Roman" w:eastAsia="Times New Roman" w:hAnsi="Times New Roman" w:cs="Times New Roman"/>
                <w:sz w:val="26"/>
                <w:szCs w:val="26"/>
                <w:lang w:eastAsia="ru-RU"/>
              </w:rPr>
            </w:pP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127,3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30,8</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Малоярославецкий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208,3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92,3</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Медынский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-28.6</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Мещовский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-33.3</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Мосальский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Перемышльский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Спас-Деменский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-75,0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Сухиничский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-16.7</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Тарусский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Ульяновский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-50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Ферзиковский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-35.7</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Хвастовичский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979" w:type="dxa"/>
            <w:tcBorders>
              <w:top w:val="nil"/>
              <w:left w:val="nil"/>
              <w:bottom w:val="single" w:sz="4" w:space="0" w:color="000000"/>
              <w:right w:val="single" w:sz="4" w:space="0" w:color="000000"/>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0</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-100,0</w:t>
            </w:r>
          </w:p>
        </w:tc>
      </w:tr>
      <w:tr>
        <w:trPr>
          <w:trHeight w:hRule="exact" w:val="284"/>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Юхновский  район</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-83.3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979" w:type="dxa"/>
            <w:tcBorders>
              <w:top w:val="nil"/>
              <w:left w:val="nil"/>
              <w:bottom w:val="single" w:sz="4" w:space="0" w:color="auto"/>
              <w:right w:val="single" w:sz="4" w:space="0" w:color="auto"/>
            </w:tcBorders>
            <w:shd w:val="clear" w:color="auto" w:fill="auto"/>
            <w:noWrap/>
            <w:vAlign w:val="center"/>
            <w:hideMark/>
          </w:tcPr>
          <w:p>
            <w:pPr>
              <w:spacing w:line="240" w:lineRule="auto"/>
              <w:contextualSpacing/>
              <w:jc w:val="center"/>
              <w:rPr>
                <w:rFonts w:ascii="Times New Roman" w:hAnsi="Times New Roman" w:cs="Times New Roman"/>
                <w:sz w:val="26"/>
                <w:szCs w:val="26"/>
              </w:rPr>
            </w:pPr>
            <w:r>
              <w:rPr>
                <w:rFonts w:ascii="Times New Roman" w:hAnsi="Times New Roman" w:cs="Times New Roman"/>
                <w:sz w:val="26"/>
                <w:szCs w:val="26"/>
              </w:rPr>
              <w:t>-66.7</w:t>
            </w:r>
          </w:p>
        </w:tc>
      </w:tr>
      <w:tr>
        <w:trPr>
          <w:trHeight w:val="284"/>
        </w:trPr>
        <w:tc>
          <w:tcPr>
            <w:tcW w:w="4268"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c>
          <w:tcPr>
            <w:tcW w:w="979" w:type="dxa"/>
            <w:tcBorders>
              <w:top w:val="nil"/>
              <w:left w:val="nil"/>
              <w:bottom w:val="nil"/>
              <w:right w:val="nil"/>
            </w:tcBorders>
            <w:shd w:val="clear" w:color="auto" w:fill="auto"/>
            <w:noWrap/>
            <w:vAlign w:val="bottom"/>
            <w:hideMark/>
          </w:tcPr>
          <w:p>
            <w:pPr>
              <w:spacing w:line="240" w:lineRule="auto"/>
              <w:contextualSpacing/>
              <w:rPr>
                <w:rFonts w:ascii="Times New Roman" w:eastAsia="Times New Roman" w:hAnsi="Times New Roman" w:cs="Times New Roman"/>
                <w:color w:val="000000"/>
                <w:sz w:val="26"/>
                <w:szCs w:val="26"/>
                <w:lang w:eastAsia="ru-RU"/>
              </w:rPr>
            </w:pPr>
          </w:p>
        </w:tc>
      </w:tr>
    </w:tbl>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Основное количество преступлений совершается в дневное время (диаграмма 15). Значительным остается количество преступлений совершаемых несовершеннолетними в ночное время, а в период с 22 до 24 часов количество преступлений выросло практически в два раза.</w:t>
      </w: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ind w:firstLine="709"/>
        <w:contextualSpacing/>
        <w:jc w:val="both"/>
        <w:rPr>
          <w:rFonts w:ascii="Times New Roman" w:hAnsi="Times New Roman" w:cs="Times New Roman"/>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Информация о времени совершения преступлений несовершеннолетними лицами</w:t>
      </w:r>
    </w:p>
    <w:p>
      <w:pPr>
        <w:spacing w:line="240" w:lineRule="auto"/>
        <w:contextualSpacing/>
        <w:jc w:val="center"/>
        <w:rPr>
          <w:rFonts w:ascii="Times New Roman" w:hAnsi="Times New Roman" w:cs="Times New Roman"/>
          <w:b/>
          <w:sz w:val="26"/>
          <w:szCs w:val="26"/>
        </w:rPr>
      </w:pPr>
    </w:p>
    <w:p>
      <w:pPr>
        <w:spacing w:line="24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236970" cy="3931920"/>
            <wp:effectExtent l="19050" t="0" r="1143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 15</w:t>
      </w:r>
    </w:p>
    <w:p>
      <w:pPr>
        <w:spacing w:line="240" w:lineRule="auto"/>
        <w:ind w:firstLine="709"/>
        <w:contextualSpacing/>
        <w:jc w:val="both"/>
        <w:rPr>
          <w:rFonts w:ascii="Times New Roman" w:hAnsi="Times New Roman" w:cs="Times New Roman"/>
          <w:b/>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регионе наблюдается снижение по следующим видам преступлений, совершаемых несовершеннолетними лицами: кражи (с 257 до 251), завладение транспортным средством (с 24 до 19), грабежи (с 26 до 19). В тоже время более чем в 2 раза выросло количество преступлений связанных с наркотиками (с 20 до 42). Основной рост по данному показателю произошел в г. Людинове и Людиновском районе (с 0 до 27).</w:t>
      </w:r>
    </w:p>
    <w:p>
      <w:pPr>
        <w:spacing w:line="240" w:lineRule="auto"/>
        <w:ind w:firstLine="709"/>
        <w:contextualSpacing/>
        <w:jc w:val="both"/>
        <w:rPr>
          <w:rFonts w:ascii="Times New Roman" w:hAnsi="Times New Roman" w:cs="Times New Roman"/>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p>
    <w:p>
      <w:pPr>
        <w:spacing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Вида совершаемых несовершеннолетними лицами преступлений </w:t>
      </w:r>
    </w:p>
    <w:p>
      <w:pPr>
        <w:spacing w:line="240" w:lineRule="auto"/>
        <w:contextualSpacing/>
        <w:jc w:val="center"/>
        <w:rPr>
          <w:rFonts w:ascii="Times New Roman" w:hAnsi="Times New Roman" w:cs="Times New Roman"/>
          <w:b/>
          <w:sz w:val="26"/>
          <w:szCs w:val="26"/>
        </w:rPr>
      </w:pPr>
    </w:p>
    <w:p>
      <w:pPr>
        <w:spacing w:line="240" w:lineRule="auto"/>
        <w:contextualSpacing/>
        <w:rPr>
          <w:sz w:val="26"/>
          <w:szCs w:val="26"/>
        </w:rPr>
      </w:pPr>
      <w:r>
        <w:rPr>
          <w:noProof/>
          <w:sz w:val="26"/>
          <w:szCs w:val="26"/>
          <w:lang w:eastAsia="ru-RU"/>
        </w:rPr>
        <w:drawing>
          <wp:inline distT="0" distB="0" distL="0" distR="0">
            <wp:extent cx="6290310" cy="5829300"/>
            <wp:effectExtent l="19050" t="0" r="1524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 16</w:t>
      </w:r>
    </w:p>
    <w:p>
      <w:pPr>
        <w:spacing w:line="240" w:lineRule="auto"/>
        <w:contextualSpacing/>
        <w:rPr>
          <w:sz w:val="26"/>
          <w:szCs w:val="26"/>
        </w:rPr>
      </w:pPr>
    </w:p>
    <w:p>
      <w:pPr>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преступлений, совершенных в группах, выросло на 15,9 % (с 207 до 240 преступлений). В составе смешанных групп совершенно 141 преступление (138 в 2017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Наибольший рост преступлений, совершенных несовершеннолетними лицами в группах, произошел в: Жуковском (с 6 до 14), Кировском (с 2 до 8), Козельском (с 3 до 11), Людиновском (с 10 до 45), Малоярославецком (с 3 до 23) районах и городе Обниске (с 5 до 17).</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увеличилось количество несовершеннолетних, совершающих преступления в состоянии алкогольного опьянения (с 36 до 51). Наибольший рост произошел в городе Калуге (с 9 до 15) и в Жуковском районе (с 0 до 8). В 2017 и 2018 годах преступления несовершеннолетними в состоянии наркотического опьянения не совершались.</w:t>
      </w:r>
    </w:p>
    <w:p>
      <w:pPr>
        <w:spacing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sz w:val="26"/>
          <w:szCs w:val="26"/>
        </w:rPr>
        <w:t>Также выросло количество несовершеннолетних совершивших преступления в группе (со 146 до 178), в том числе в смешанных группах (с 57 до 70). Наибольший рост количества несовершеннолетних лиц, совершивших преступления в группах</w:t>
      </w:r>
      <w:r>
        <w:rPr>
          <w:rFonts w:ascii="Times New Roman" w:hAnsi="Times New Roman" w:cs="Times New Roman"/>
          <w:color w:val="000000" w:themeColor="text1"/>
          <w:sz w:val="26"/>
          <w:szCs w:val="26"/>
        </w:rPr>
        <w:t>, отмечен в Боровском (с 3 до 8), Кировском (с 1 до 6), Малоярославецком (с 1 до 6), Тарусском (с 0 до 3) районах и в городе Обнинске (с 3 до 9). В тоже время в городе Калуге произошло значительное снижение данного показателя (с 28 до 13).</w:t>
      </w:r>
    </w:p>
    <w:p>
      <w:pPr>
        <w:spacing w:line="360" w:lineRule="auto"/>
        <w:ind w:firstLine="709"/>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Анализ занятости несовершеннолетних, совершивших преступления, показывает, что 75,3 % из них являются учащимися образовательных организаций (74,5 % в 2017 году) и 23,7 % нигде не работали и не учились (24,1 % в 2017 году) (диаграмма 17).</w:t>
      </w:r>
    </w:p>
    <w:p>
      <w:pPr>
        <w:spacing w:line="240" w:lineRule="auto"/>
        <w:ind w:firstLine="709"/>
        <w:contextualSpacing/>
        <w:jc w:val="both"/>
        <w:rPr>
          <w:rFonts w:ascii="Times New Roman" w:hAnsi="Times New Roman" w:cs="Times New Roman"/>
          <w:color w:val="000000" w:themeColor="text1"/>
          <w:sz w:val="26"/>
          <w:szCs w:val="26"/>
        </w:rPr>
      </w:pPr>
    </w:p>
    <w:p>
      <w:pPr>
        <w:spacing w:line="240" w:lineRule="auto"/>
        <w:contextualSpacing/>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Занятость несовершеннолетних совершивших преступления (2018 год)</w:t>
      </w:r>
    </w:p>
    <w:p>
      <w:pPr>
        <w:spacing w:line="240" w:lineRule="auto"/>
        <w:contextualSpacing/>
        <w:jc w:val="center"/>
        <w:rPr>
          <w:rFonts w:ascii="Times New Roman" w:hAnsi="Times New Roman" w:cs="Times New Roman"/>
          <w:b/>
          <w:color w:val="000000" w:themeColor="text1"/>
          <w:sz w:val="26"/>
          <w:szCs w:val="26"/>
        </w:rPr>
      </w:pPr>
    </w:p>
    <w:p>
      <w:pPr>
        <w:spacing w:line="240" w:lineRule="auto"/>
        <w:contextualSpacing/>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372225" cy="3200400"/>
            <wp:effectExtent l="19050" t="0" r="9525"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Диаграмма № 17</w:t>
      </w:r>
    </w:p>
    <w:p>
      <w:pPr>
        <w:spacing w:line="240" w:lineRule="auto"/>
        <w:ind w:firstLine="709"/>
        <w:contextualSpacing/>
        <w:jc w:val="both"/>
        <w:rPr>
          <w:rFonts w:ascii="Times New Roman" w:hAnsi="Times New Roman" w:cs="Times New Roman"/>
          <w:sz w:val="26"/>
          <w:szCs w:val="26"/>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сократилось количество несовершеннолетних, совершивших преступления, которые ранее совершали преступления (с 71 до 61). При этом в 2018 году повторные преступления совершили 5 несовершеннолетних, являющихся условно осужденными (4 в 2017 году), 1 несовершеннолетний, находящийся под следствием (0 в 2017 году), 42 несовершеннолетних в составе группы (38 в 2017 году) и 17 в состоянии алкогольного опьянения (21 в 2017 году).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Количество преступлений совершенных в отношении несовершеннолетних выросло на 12,2 %, в том числе рост преступлений против половой неприкосновенности и половой свободы личности составил 31,7 % (таблица № 19).</w:t>
      </w:r>
    </w:p>
    <w:p>
      <w:pPr>
        <w:spacing w:line="360" w:lineRule="auto"/>
        <w:ind w:firstLine="709"/>
        <w:contextualSpacing/>
        <w:jc w:val="both"/>
        <w:rPr>
          <w:rFonts w:ascii="Times New Roman" w:hAnsi="Times New Roman" w:cs="Times New Roman"/>
          <w:sz w:val="26"/>
          <w:szCs w:val="26"/>
        </w:rPr>
      </w:pPr>
    </w:p>
    <w:p>
      <w:pPr>
        <w:spacing w:line="240" w:lineRule="auto"/>
        <w:ind w:firstLine="709"/>
        <w:contextualSpacing/>
        <w:jc w:val="right"/>
        <w:rPr>
          <w:rFonts w:ascii="Times New Roman" w:hAnsi="Times New Roman" w:cs="Times New Roman"/>
          <w:b/>
          <w:i/>
          <w:sz w:val="26"/>
          <w:szCs w:val="26"/>
        </w:rPr>
      </w:pPr>
      <w:r>
        <w:rPr>
          <w:rFonts w:ascii="Times New Roman" w:hAnsi="Times New Roman" w:cs="Times New Roman"/>
          <w:b/>
          <w:i/>
          <w:sz w:val="26"/>
          <w:szCs w:val="26"/>
        </w:rPr>
        <w:t>Таблица № 19</w:t>
      </w:r>
    </w:p>
    <w:p>
      <w:pPr>
        <w:spacing w:line="240" w:lineRule="auto"/>
        <w:ind w:firstLine="709"/>
        <w:contextualSpacing/>
        <w:jc w:val="both"/>
        <w:rPr>
          <w:rFonts w:ascii="Times New Roman" w:hAnsi="Times New Roman" w:cs="Times New Roman"/>
          <w:sz w:val="26"/>
          <w:szCs w:val="26"/>
        </w:rPr>
      </w:pPr>
    </w:p>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Сведения</w:t>
      </w:r>
    </w:p>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 количестве преступлений в отношении несовершеннолетних</w:t>
      </w:r>
    </w:p>
    <w:p>
      <w:pPr>
        <w:widowControl w:val="0"/>
        <w:spacing w:line="240" w:lineRule="auto"/>
        <w:contextualSpacing/>
        <w:jc w:val="center"/>
        <w:rPr>
          <w:rFonts w:ascii="Times New Roman" w:eastAsia="Times New Roman" w:hAnsi="Times New Roman" w:cs="Times New Roman"/>
          <w:b/>
          <w:sz w:val="26"/>
          <w:szCs w:val="26"/>
          <w:lang w:eastAsia="ru-RU"/>
        </w:rPr>
      </w:pP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6601"/>
        <w:gridCol w:w="916"/>
        <w:gridCol w:w="816"/>
        <w:gridCol w:w="1153"/>
      </w:tblGrid>
      <w:tr>
        <w:trPr>
          <w:trHeight w:val="462"/>
          <w:jc w:val="center"/>
        </w:trPr>
        <w:tc>
          <w:tcPr>
            <w:tcW w:w="600" w:type="dxa"/>
            <w:vMerge w:val="restart"/>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6601" w:type="dxa"/>
            <w:vMerge w:val="restart"/>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w:t>
            </w:r>
          </w:p>
        </w:tc>
        <w:tc>
          <w:tcPr>
            <w:tcW w:w="1732" w:type="dxa"/>
            <w:gridSpan w:val="2"/>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Количество</w:t>
            </w:r>
          </w:p>
        </w:tc>
        <w:tc>
          <w:tcPr>
            <w:tcW w:w="1153" w:type="dxa"/>
            <w:vMerge w:val="restart"/>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  в %</w:t>
            </w:r>
          </w:p>
        </w:tc>
      </w:tr>
      <w:tr>
        <w:trPr>
          <w:trHeight w:val="462"/>
          <w:jc w:val="center"/>
        </w:trPr>
        <w:tc>
          <w:tcPr>
            <w:tcW w:w="600" w:type="dxa"/>
            <w:vMerge/>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p>
        </w:tc>
        <w:tc>
          <w:tcPr>
            <w:tcW w:w="6601" w:type="dxa"/>
            <w:vMerge/>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val="en-US" w:eastAsia="ru-RU"/>
              </w:rPr>
            </w:pPr>
            <w:r>
              <w:rPr>
                <w:rFonts w:ascii="Times New Roman" w:eastAsia="Times New Roman" w:hAnsi="Times New Roman" w:cs="Times New Roman"/>
                <w:b/>
                <w:sz w:val="26"/>
                <w:szCs w:val="26"/>
                <w:lang w:eastAsia="ru-RU"/>
              </w:rPr>
              <w:t>201</w:t>
            </w:r>
            <w:r>
              <w:rPr>
                <w:rFonts w:ascii="Times New Roman" w:eastAsia="Times New Roman" w:hAnsi="Times New Roman" w:cs="Times New Roman"/>
                <w:b/>
                <w:sz w:val="26"/>
                <w:szCs w:val="26"/>
                <w:lang w:val="en-US" w:eastAsia="ru-RU"/>
              </w:rPr>
              <w:t>7</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2018</w:t>
            </w:r>
          </w:p>
        </w:tc>
        <w:tc>
          <w:tcPr>
            <w:tcW w:w="1153" w:type="dxa"/>
            <w:vMerge/>
          </w:tcPr>
          <w:p>
            <w:pPr>
              <w:widowControl w:val="0"/>
              <w:spacing w:line="240" w:lineRule="auto"/>
              <w:contextualSpacing/>
              <w:jc w:val="center"/>
              <w:rPr>
                <w:rFonts w:ascii="Times New Roman" w:eastAsia="Times New Roman" w:hAnsi="Times New Roman" w:cs="Times New Roman"/>
                <w:b/>
                <w:sz w:val="26"/>
                <w:szCs w:val="26"/>
                <w:lang w:eastAsia="ru-RU"/>
              </w:rPr>
            </w:pP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жизни и здоровья</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76</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- 3,9</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свободы, чести и достоинства личности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+ 50</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половой неприкосновенности и половой свободы личности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139</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183</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+ 31,7</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конституционных прав</w:t>
            </w:r>
          </w:p>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 свобод человека и гражданина</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семьи и несовершеннолетних</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431</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490</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+13,7</w:t>
            </w:r>
          </w:p>
        </w:tc>
      </w:tr>
      <w:tr>
        <w:trPr>
          <w:trHeight w:val="99"/>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собственности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- 16,4</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общественной безопасности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- 33,3</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здоровья населения и общественной нравственности</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+ 9,1</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безопасности движения и эксплуатации транспорта</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+ 20,7</w:t>
            </w:r>
          </w:p>
        </w:tc>
      </w:tr>
      <w:tr>
        <w:trPr>
          <w:jc w:val="center"/>
        </w:trPr>
        <w:tc>
          <w:tcPr>
            <w:tcW w:w="600"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6601" w:type="dxa"/>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Преступления против государственной власти, интересов государственной службы и службы в органах местного самоуправления</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153" w:type="dxa"/>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- 50,0</w:t>
            </w:r>
          </w:p>
        </w:tc>
      </w:tr>
      <w:tr>
        <w:trPr>
          <w:jc w:val="center"/>
        </w:trPr>
        <w:tc>
          <w:tcPr>
            <w:tcW w:w="7201" w:type="dxa"/>
            <w:gridSpan w:val="2"/>
            <w:shd w:val="clear" w:color="auto" w:fill="auto"/>
            <w:vAlign w:val="center"/>
          </w:tcPr>
          <w:p>
            <w:pPr>
              <w:widowControl w:val="0"/>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ИТОГО </w:t>
            </w:r>
          </w:p>
        </w:tc>
        <w:tc>
          <w:tcPr>
            <w:tcW w:w="9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773</w:t>
            </w:r>
          </w:p>
        </w:tc>
        <w:tc>
          <w:tcPr>
            <w:tcW w:w="816" w:type="dxa"/>
            <w:shd w:val="clear" w:color="auto" w:fill="auto"/>
            <w:vAlign w:val="center"/>
          </w:tcPr>
          <w:p>
            <w:pPr>
              <w:widowControl w:val="0"/>
              <w:spacing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867</w:t>
            </w:r>
          </w:p>
        </w:tc>
        <w:tc>
          <w:tcPr>
            <w:tcW w:w="1153" w:type="dxa"/>
            <w:vAlign w:val="center"/>
          </w:tcPr>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+ 12,2</w:t>
            </w:r>
          </w:p>
        </w:tc>
      </w:tr>
    </w:tbl>
    <w:p>
      <w:pPr>
        <w:widowControl w:val="0"/>
        <w:spacing w:line="240" w:lineRule="auto"/>
        <w:contextualSpacing/>
        <w:jc w:val="both"/>
        <w:rPr>
          <w:rFonts w:ascii="Times New Roman" w:eastAsia="Times New Roman" w:hAnsi="Times New Roman" w:cs="Times New Roman"/>
          <w:sz w:val="26"/>
          <w:szCs w:val="26"/>
          <w:lang w:eastAsia="ru-RU"/>
        </w:rPr>
      </w:pPr>
    </w:p>
    <w:p>
      <w:pPr>
        <w:widowControl w:val="0"/>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Из 377 преступлений в отношении несовершеннолетних (без учета ст. 157 «Злостное уклонение от уплаты алиментов» Уголовного кодекса Российской Федерации) 94 или каждое четвертое в 2018 году совершенно родственниками или знакомыми. В 2017 году из 342 преступлений 133</w:t>
      </w:r>
      <w:r>
        <w:rPr>
          <w:sz w:val="26"/>
          <w:szCs w:val="26"/>
        </w:rPr>
        <w:t xml:space="preserve"> </w:t>
      </w:r>
      <w:r>
        <w:rPr>
          <w:rFonts w:ascii="Times New Roman" w:eastAsia="Times New Roman" w:hAnsi="Times New Roman" w:cs="Times New Roman"/>
          <w:sz w:val="26"/>
          <w:szCs w:val="26"/>
          <w:lang w:eastAsia="ru-RU"/>
        </w:rPr>
        <w:t>совершенно родственниками или знакомыми (диаграмма 18).</w:t>
      </w:r>
    </w:p>
    <w:p>
      <w:pPr>
        <w:widowControl w:val="0"/>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Незначительно сократилось количество несовершеннолетних, совершивших административные правонарушения (на 2,7 %).</w:t>
      </w:r>
    </w:p>
    <w:p>
      <w:pPr>
        <w:widowControl w:val="0"/>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семей, находящихся в социально-опасном положении, состоящих на профилактическом учете в комиссиях по делам несовершеннолетних и защите их прав в 2018 году сократилось на 56,7 %.</w:t>
      </w:r>
    </w:p>
    <w:p>
      <w:pPr>
        <w:widowControl w:val="0"/>
        <w:spacing w:line="240" w:lineRule="auto"/>
        <w:contextualSpacing/>
        <w:jc w:val="right"/>
        <w:rPr>
          <w:rFonts w:ascii="Times New Roman" w:eastAsia="Times New Roman" w:hAnsi="Times New Roman" w:cs="Times New Roman"/>
          <w:b/>
          <w:i/>
          <w:sz w:val="26"/>
          <w:szCs w:val="26"/>
          <w:lang w:eastAsia="ru-RU"/>
        </w:rPr>
      </w:pPr>
    </w:p>
    <w:p>
      <w:pPr>
        <w:widowControl w:val="0"/>
        <w:spacing w:line="240" w:lineRule="auto"/>
        <w:contextualSpacing/>
        <w:jc w:val="right"/>
        <w:rPr>
          <w:rFonts w:ascii="Times New Roman" w:eastAsia="Times New Roman" w:hAnsi="Times New Roman" w:cs="Times New Roman"/>
          <w:b/>
          <w:i/>
          <w:sz w:val="26"/>
          <w:szCs w:val="26"/>
          <w:lang w:eastAsia="ru-RU"/>
        </w:rPr>
      </w:pPr>
    </w:p>
    <w:p>
      <w:pPr>
        <w:widowControl w:val="0"/>
        <w:spacing w:line="24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Субъекты, совершившие преступления в отношении несовершеннолетних</w:t>
      </w:r>
    </w:p>
    <w:p>
      <w:pPr>
        <w:widowControl w:val="0"/>
        <w:spacing w:line="240" w:lineRule="auto"/>
        <w:contextualSpacing/>
        <w:jc w:val="center"/>
        <w:rPr>
          <w:rFonts w:ascii="Times New Roman" w:eastAsia="Times New Roman" w:hAnsi="Times New Roman" w:cs="Times New Roman"/>
          <w:b/>
          <w:i/>
          <w:sz w:val="26"/>
          <w:szCs w:val="26"/>
          <w:lang w:eastAsia="ru-RU"/>
        </w:rPr>
      </w:pPr>
    </w:p>
    <w:p>
      <w:pPr>
        <w:widowControl w:val="0"/>
        <w:spacing w:line="240" w:lineRule="auto"/>
        <w:contextualSpacing/>
        <w:jc w:val="center"/>
        <w:rPr>
          <w:rFonts w:ascii="Times New Roman" w:eastAsia="Times New Roman" w:hAnsi="Times New Roman" w:cs="Times New Roman"/>
          <w:b/>
          <w:sz w:val="26"/>
          <w:szCs w:val="26"/>
          <w:u w:val="single"/>
          <w:lang w:eastAsia="ru-RU"/>
        </w:rPr>
      </w:pPr>
      <w:r>
        <w:rPr>
          <w:rFonts w:ascii="Times New Roman" w:eastAsia="Times New Roman" w:hAnsi="Times New Roman" w:cs="Times New Roman"/>
          <w:b/>
          <w:noProof/>
          <w:sz w:val="26"/>
          <w:szCs w:val="26"/>
          <w:u w:val="single"/>
          <w:lang w:eastAsia="ru-RU"/>
        </w:rPr>
        <w:drawing>
          <wp:inline distT="0" distB="0" distL="0" distR="0">
            <wp:extent cx="6200775" cy="2924175"/>
            <wp:effectExtent l="19050" t="0" r="9525"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widowControl w:val="0"/>
        <w:spacing w:line="240" w:lineRule="auto"/>
        <w:contextualSpacing/>
        <w:jc w:val="right"/>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Диаграмма № 18</w:t>
      </w:r>
    </w:p>
    <w:p>
      <w:pPr>
        <w:widowControl w:val="0"/>
        <w:spacing w:line="240" w:lineRule="auto"/>
        <w:contextualSpacing/>
        <w:jc w:val="center"/>
        <w:rPr>
          <w:rFonts w:ascii="Times New Roman" w:eastAsia="Times New Roman" w:hAnsi="Times New Roman" w:cs="Times New Roman"/>
          <w:b/>
          <w:sz w:val="26"/>
          <w:szCs w:val="26"/>
          <w:u w:val="single"/>
          <w:lang w:eastAsia="ru-RU"/>
        </w:rPr>
      </w:pP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2018 году в целях эффективного межведомственного взаимодействия органов системы профилактики безнадзорности и правонарушений несовершеннолетних, в результате объединенной работы всех органов системы профилактики несовершеннолетних, был разработан и утверждён Порядок взаимодействия органов и учреждений системы профилактики и безнадзорности и правонарушений несовершеннолетних на территории Калужской области при выявлении, учете и организации индивидуальной профилактической работы с беспризорными, безнадзорными несовершеннолетними, а также с несовершеннолетними и семьями, находящимися в трудной жизненной ситуации и в социально опасном положении.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Порядком, в рамках действующего законодательства, предусмотрен алгоритм взаимодействия органов и учреждений системы профилактики, в том числе большая роль отводится учреждениям социального обслуживания семьи и детей Калужской области в проведении реабилитационной работы. Данный Порядок используется в совместной работе учреждений социального обслуживания семьи и детей Калужской области и органов и учреждений системы профилактики безнадзорности и правонарушений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Разработка и принятие данного Порядка позволит повысить эффективность применения социальных, правовых, психолого-педагогических и иных мер.</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настоящее время особого внимания требует социально-правовая поддержка несовершеннолетних находящихся в изоляции и лишенных части гражданских прав.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2018 году Уполномоченным продолжилась работа с несовершеннолетними преступившими закон и отбывающими наказание в ФКУ «Брянская воспитательная колония» УФСИН России по Брянской области и с их семьями. Цель данной работы создать условия, которые позволят возвратившимся детям, не повторить ошибку.</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было заключено соглашение о взаимодействии Уполномоченного и ФКУ «Новооскольская ВК УФСИН России по Белгородской области», в которой отбывают наказание несовершеннолетние девочки.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Профилактики жестокого обращения с детьми в регионе строится в соответствии со следующими нормативными правовыми актами: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Закон Калужской области от 25 июня 2009 года № 561-ОЗ «О мерах по предупреждению причинения вреда здоровью детей, их физическому, интеллектуальному, психическому, духовному и нравственному развитию»;</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Государственная программа Калужской области «Профилактика правонарушений в Калужской области», утвержденная постановлением Правительства Калужской области  от 18 декабря 2013 г. № 695;</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Порядок межведомственного взаимодействия по выявлению и профессиональному вмешательству в ситуацию насилия и преступления, совершенного в отношении несовершеннолетнего;</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Порядок взаимодействия государственных бюджетных учреждений социального            обслуживания семьи и детей Калужской области по вопросам оказания помощи                 несовершеннолетним, пострадавшим от преступных посягательств.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рамках межведомственного взаимодействия комиссии по делам несовершеннолетних и защите их прав тесно сотрудничают со службами психолого-педагогического сопровождения образовательных организаций. Специалисты служб сопровождения принимают участие в заседаниях комиссии по делам несовершеннолетних и защите их прав, осуществляют психолого-педагогическое сопровождение несовершеннолетних и членов их семей, нуждающихся в педагогической, психологической и социальной реабилитации.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2016 года в Калужской области реализуется проект «Региональный родительский университет», целью которого является просвещение родителей в вопросах обучения, воспитания и развития детей. В указанных мероприятиях регулярно принимают участие, в том числе в режиме видео-конференц-связи, около 500 родителей. Тематика мероприятий включает вопросы профилактики насилия в образовательной среде, повышения уровня толерантности в обществе.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учреждениях социального обслуживания семьи и детей функционируют 14 служб «Социальный патруль». Их работа направлена на предупреждение асоциальных проявлений в подростковой среде путём осуществления работы с подростками по месту учёбы и жительства. В 2018 году проведено более 350 рейдов (в том числе в городе Калуге проведен 31 межведомственный рейд), в рамках которых выявлено 138 несовершеннолетних, находящихся на улице в ночное время, а также проведены профилактические беседы социально-правовой и психологической направленности с 153 родителями.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Калужской области принят и реализуется Закон Калужской области от 25.06.2009 № 561-ОЗ «О мерах по предупреждению причинения вреда здоровью детей, их физическому, интеллектуальному, психическому, духовному и нравственному развитию». В 2018 году выявлены 249 детей и подростков, находящихся в ночное время в общественных местах без сопровождения законных представителей (в 2017 г. – 199). В 73 случаях родители привлечены к административной ответственности по ст.5.35 Кодекса об административных правонарушениях Российской Федерации.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С учетом анализа специфики криминальной ситуации по линии несовершеннолетних в области, в целях устранения причин и условий, способствующих совершению преступлений как несовершеннолетними, так и в отношении их, в 2018 году проведен ряд комплексных оперативно-профилактических мероприятий: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межведомственная акция «Жизнь без опасности», направленная на предупреждение самовольных уходов несовершеннолетних с места жительства, учебы, лечения, а также из учреждений социального обслуживания (февраль);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оперативно профилактическое мероприятие (далее – ОПМ) «Твой выбор», направленное на предупреждение групповой преступности несовершеннолетних (май);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оперативно - профилактическая операция «Здоровье», направленная на недопущение употребления несовершеннолетними алкогольной и спиртсодержащей продукции, а также предотвращение продажи подросткам спиртного (апрель);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ОПМ «Подросток» (2 этапа), направленное на предупреждение безнадзорности, пресечение правонарушений несовершеннолетних, защиту их прав и законных интересов (июнь - август);</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акция «Ночной патруль» («Вечерний город»), направленная на формирование позитивного правосознания у подростков, профилактику правонарушений и преступлений, совершаемых несовершеннолетними и в отношении их, распространения пьянства и наркомании среди несовершеннолетних, выявление родителей, злостно уклоняющихся от воспитания де-тей, допускающих жестокое обращение с ними, а также в связи с началом нового учебного года (сентябрь);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акция «Закон и порядок», направленная на формирование позитивного правосознания у подростков (ноябрь);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ОПМ «Повтор», направленное на профилактику и недопущение со стороны несовершеннолетних совершения повторных преступлений (декабрь).</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Приведенные статистические данные показывают, что проводимая работа субъектами профилактики безнадзорности и правонарушений, не позволяет кардинальным образом улучшить ситуацию и снизить количество преступлений совершаемых несовершеннолетними и в отношении несовершеннолетних. Кроме того, нельзя не обратить внимание на: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количества преступлений, совершенных несовершеннолетними лицами и с их участием, и количества несовершеннолетних, совершивших преступления, в Боровском, Кировском, Козельском, Людиновском и Малоярославецком районах;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значительное количество преступлений совершаемых несовершеннолетними в ночное время;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количества преступлений, совершаемых несовершеннолетними в группах;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преступлений связанных с наркотиками в Людиновском районе;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рост преступлений против половой неприкосновенности и половой свободы личности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значительное количество преступлений, совершаемых несовершеннолетними учащимися образовательных организаций.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Исходя из проведенного анализа преступности несовершеннолетних можно выделить основные причины негативных тенденций: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невысокая эффективность принимаемых мер по ранней профилактике правонарушений и преступлений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низкий уровень правовой культуры населения в целом и несовершеннолетних в частности;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недостаточно эффективно выстроенная система межведомственного взаимодействия органов системы профилактики безнадзорности и правонарушений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семейное неблагополучие, как материальное, так и эмоциональное;</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 связи с выше изложенным Уполномоченный рекомендует:</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комиссиям по делам несовершеннолетних и защите их прав Боровскоого, Кировского, Козельского, Малоярославецкого районов и г. Людинова и Людиновского района провести анализ причин роста количества преступлений, совершенных несовершеннолетними лицами и с их участием, и количества несовершеннолетних, совершивших преступления, и выработать планы по снижению данных показателей;</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комиссии по делам несовершеннолетних и защите их прав Калужской области: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провести анализ причин сокращения количества семей, находящихся в социально-опасном положении, состоящих на профилактическом учете в комиссиях по делам несовершеннолетних и защите их прав муниципальных районов и городских округов;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выстроить систему реабилитации несовершеннолетних, освобожденных из мест лишения свободы, прекративших пребывание в специальных учебно-воспитательных учреждениях закрытого типа; </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администрациям муниципальных районов и городских округов: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выработать меры по повышению занятости несовершеннолетних, в том числе вне рамок образовательного процесса;</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провести работу по сокращению количества несовершеннолетних школьного возраста систематически не посещающих образовательные организации;</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УМВД России по Калужской области усилить работу по профилактике совершения преступлений несовершеннолетними в группах, в том числе в смешанных группах;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органам и учреждениям системы профилактики безнадзорности и правонарушений несовершеннолетних неукоснительно соблюдать п. 2 ст. 9 Федерального закона Российской Федерации от 24.06.1999 № 120-ФЗ «Об основах системы профилактики безнадзорности и правонарушений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комиссиям по делам несовершеннолетних и защите их прав муниципальных районов и городских округов:</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проводить анализ исполнения органами и учреждениями системы профилактики безнадзорности и правонарушений несовершеннолетних п. 2 ст. 9 Федерального закона Российской Федерации от 24.06.1999 № 120-ФЗ «Об основах системы профилактики безнадзорности и правонарушений несовершеннолетних»;</w:t>
      </w:r>
    </w:p>
    <w:p>
      <w:pPr>
        <w:spacing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усилить работу на местах по выявлению несовершеннолетних, находящихся в ночное время в общественных местах без сопровождения законных представителей.</w:t>
      </w:r>
    </w:p>
    <w:p>
      <w:pPr>
        <w:keepNext/>
        <w:keepLines/>
        <w:spacing w:after="0" w:line="240" w:lineRule="auto"/>
        <w:contextualSpacing/>
        <w:jc w:val="center"/>
        <w:outlineLvl w:val="0"/>
        <w:rPr>
          <w:rFonts w:ascii="Times New Roman" w:hAnsi="Times New Roman"/>
          <w:b/>
          <w:bCs/>
          <w:sz w:val="26"/>
          <w:szCs w:val="26"/>
        </w:rPr>
      </w:pPr>
      <w:r>
        <w:rPr>
          <w:rFonts w:ascii="Times New Roman" w:hAnsi="Times New Roman"/>
          <w:b/>
          <w:bCs/>
          <w:sz w:val="26"/>
          <w:szCs w:val="26"/>
        </w:rPr>
        <w:t>3. ПРАВОВОЕ ПРОСВЕЩЕНИЕ УПОЛНОМОЧЕННОГО ПО ПРАВАМ РЕБЕНКА В КАЛУЖСКОЙ ОБЛАСТИ 2018 ГОДУ</w:t>
      </w:r>
    </w:p>
    <w:p>
      <w:pPr>
        <w:keepNext/>
        <w:keepLines/>
        <w:spacing w:after="0" w:line="240" w:lineRule="auto"/>
        <w:contextualSpacing/>
        <w:jc w:val="center"/>
        <w:outlineLvl w:val="0"/>
        <w:rPr>
          <w:rFonts w:ascii="Times New Roman" w:hAnsi="Times New Roman"/>
          <w:b/>
          <w:bCs/>
          <w:sz w:val="26"/>
          <w:szCs w:val="26"/>
        </w:rPr>
      </w:pPr>
    </w:p>
    <w:p>
      <w:pPr>
        <w:keepNext/>
        <w:keepLines/>
        <w:spacing w:after="0" w:line="240" w:lineRule="auto"/>
        <w:contextualSpacing/>
        <w:jc w:val="center"/>
        <w:outlineLvl w:val="0"/>
        <w:rPr>
          <w:rFonts w:ascii="Times New Roman" w:hAnsi="Times New Roman"/>
          <w:b/>
          <w:bCs/>
          <w:sz w:val="26"/>
          <w:szCs w:val="26"/>
        </w:rPr>
      </w:pPr>
      <w:r>
        <w:rPr>
          <w:rFonts w:ascii="Times New Roman" w:hAnsi="Times New Roman"/>
          <w:b/>
          <w:bCs/>
          <w:sz w:val="26"/>
          <w:szCs w:val="26"/>
        </w:rPr>
        <w:t>3.1. ВЗАИМОДЕЙСТВИЕ УПОЛНОМОЧЕННОГО ПО ПРАВАМ РЕБЕНКА В КАЛУЖСКОЙ ОБЛАСТИ СО СРЕДСТАВИ МАССОВОЙ ИНФОРМАЦИИ</w:t>
      </w:r>
    </w:p>
    <w:p>
      <w:pPr>
        <w:keepNext/>
        <w:keepLines/>
        <w:spacing w:after="0" w:line="240" w:lineRule="auto"/>
        <w:ind w:firstLine="709"/>
        <w:contextualSpacing/>
        <w:jc w:val="both"/>
        <w:rPr>
          <w:rFonts w:ascii="Times New Roman" w:eastAsia="Times New Roman" w:hAnsi="Times New Roman"/>
          <w:sz w:val="26"/>
          <w:szCs w:val="26"/>
        </w:rPr>
      </w:pP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На современном этапе общественного развития знание правовых норм необходимо человеку и гражданину для полноценной реализации его прав и свобод. Повышение уровня правовой культуры является необходимым условием развития страны и ее дальнейшей модернизации.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В этой связи сотрудничество Уполномоченного со средствами массовой информации имеет большое значение для информирования граждан об их правах и возможностях их реализации, а также обязанностях и ответственности.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Деятельность Уполномоченного широко освещается в средствах массовой информации, а также в ежегодных докладах о деятельности Уполномоченного по правам ребенка в Калужской области. Также Уполномоченный в своей работе использует следующие способы предоставления информации: ежедневные публикации на официальных интернет-страницах, выступления на семинарах, научных конференциях и т.д.</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Уполномоченный распространяет через средства массовой информации и публикует на своей интернет-странице, в социальных сетях информацию по актуальным, интересующим многих, правовым вопросам.</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Основными каналами предоставления информации о деятельности Уполномоченного для СМИ выступают:</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электронная рассылка информации (рассылка в электронном виде пресс-релизов для СМИ, рассылка материалов с анонсами событий);</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трансляция материалов в социальные сети (официальные страницы в социальных сетях ВКонтакте, </w:t>
      </w:r>
      <w:r>
        <w:rPr>
          <w:rFonts w:ascii="Times New Roman" w:eastAsia="Times New Roman" w:hAnsi="Times New Roman"/>
          <w:sz w:val="26"/>
          <w:szCs w:val="26"/>
          <w:lang w:val="en-US"/>
        </w:rPr>
        <w:t>F</w:t>
      </w:r>
      <w:r>
        <w:rPr>
          <w:rFonts w:ascii="Times New Roman" w:eastAsia="Times New Roman" w:hAnsi="Times New Roman"/>
          <w:sz w:val="26"/>
          <w:szCs w:val="26"/>
        </w:rPr>
        <w:t>acebook), на страницу Уполномоченного на портале органов власти Калужской области;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взаимодействие с журналистами;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официальный сайт Уполномоченного по правам ребенка в Калужской области.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В 2018 году был разработан новый интерфейс официального сайта Уполномоченного. Новый сайт стал более информативным и удобным для пользователей.</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В целях доступности информации для населения на страницах сайта, в соответствующих разделах размещается: информация о текущей деятельности Уполномоченного, информация о проводимых аппаратом Уполномоченного мероприятиях и тематических конкурсах.</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Появилась страница «Важно для взрослых», на которой можно найти полезную информацию для родителей: о правах и обязанностях, касающихся вопросов детей, их безопасности, методах воспитания.</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На сайте Уполномоченного есть возможность обратиться в интернет-приемную, что позволяет расширить гражданам варианты обращения к Уполномоченному. Новый сайт также предоставляет возможность проконсультироваться у дежурного юриста, что сокращает сроки получения ответа на обращение.</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В разделе «Контакты», указан номер телефона и электронный адрес. Любой представитель СМИ по этим координатам имеет возможность быстро связаться с сотрудниками аппарата Уполномоченного и получить требуемую информацию в максимально короткие сроки.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За 2018 год на интернет-ресурсах Уполномоченного размещено 1 063 публикации, общее количество просмотров официальных страниц в сети интернет составило 51 186.</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Оперативность, надёжность, объективность, ориентированность на интересы детей, на проблемы нашего общества, доверительные, партнёрские взаимоотношения в сфере защиты прав - именно эти качества являются залогом качественного предоставления информации.</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Нередки ситуации, когда опубликованный материал служит основанием для инициации проверки Уполномоченным изложенных в средствах массовой информации фактов. </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На современном этапе сотрудничество Уполномоченного и СМИ невозможно без открытой работы и доверия к источнику информации, имеющему значимость в жизни общества. </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Средства массовой информации оказывают влияние на формирование мировоззрения у несовершеннолетних, принимают на себя распространение и создание соответствующих норм поведения, социальных ценностей и целей.</w:t>
      </w:r>
    </w:p>
    <w:p>
      <w:pPr>
        <w:keepNext/>
        <w:keepLines/>
        <w:spacing w:after="0" w:line="360" w:lineRule="auto"/>
        <w:ind w:firstLine="709"/>
        <w:contextualSpacing/>
        <w:jc w:val="both"/>
        <w:rPr>
          <w:rFonts w:ascii="Times New Roman" w:eastAsia="Times New Roman" w:hAnsi="Times New Roman"/>
          <w:sz w:val="26"/>
          <w:szCs w:val="26"/>
        </w:rPr>
      </w:pPr>
      <w:r>
        <w:rPr>
          <w:rFonts w:ascii="Times New Roman" w:eastAsia="Times New Roman" w:hAnsi="Times New Roman"/>
          <w:sz w:val="26"/>
          <w:szCs w:val="26"/>
        </w:rPr>
        <w:t>Распространение информации через СМИ плодотворно и приносит желаемые результаты. Жители нашего региона получают достоверную информацию о правах несовершеннолетних и знают, где они могут получить квалифицированную помощь и поддержку в случае нарушения этих прав.</w:t>
      </w:r>
    </w:p>
    <w:p>
      <w:pPr>
        <w:spacing w:after="0" w:line="240" w:lineRule="auto"/>
        <w:contextualSpacing/>
        <w:jc w:val="center"/>
        <w:rPr>
          <w:rFonts w:ascii="Times New Roman" w:hAnsi="Times New Roman"/>
          <w:b/>
          <w:sz w:val="26"/>
          <w:szCs w:val="26"/>
        </w:rPr>
      </w:pPr>
      <w:r>
        <w:rPr>
          <w:rFonts w:ascii="Times New Roman" w:hAnsi="Times New Roman"/>
          <w:b/>
          <w:sz w:val="26"/>
          <w:szCs w:val="26"/>
        </w:rPr>
        <w:t>3.2. МЕРОПРИТИЯ ПРАВОВОЙ НАПРАВЛЕННОСТИ</w:t>
      </w:r>
    </w:p>
    <w:p>
      <w:pPr>
        <w:spacing w:after="0" w:line="240" w:lineRule="auto"/>
        <w:contextualSpacing/>
        <w:jc w:val="center"/>
        <w:rPr>
          <w:rFonts w:ascii="Times New Roman" w:hAnsi="Times New Roman"/>
          <w:b/>
          <w:sz w:val="26"/>
          <w:szCs w:val="26"/>
        </w:rPr>
      </w:pP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Правовое просвещение несовершеннолетних, как инструмент профилактики правонарушений, является одним из важнейших направлений деятельности Уполномоченного.</w:t>
      </w:r>
    </w:p>
    <w:p>
      <w:pPr>
        <w:spacing w:after="0" w:line="360" w:lineRule="auto"/>
        <w:ind w:firstLine="709"/>
        <w:contextualSpacing/>
        <w:jc w:val="both"/>
        <w:rPr>
          <w:rFonts w:ascii="Times New Roman" w:hAnsi="Times New Roman"/>
          <w:sz w:val="26"/>
          <w:szCs w:val="26"/>
        </w:rPr>
      </w:pPr>
      <w:r>
        <w:rPr>
          <w:rFonts w:ascii="Times New Roman" w:hAnsi="Times New Roman"/>
          <w:bCs/>
          <w:sz w:val="26"/>
          <w:szCs w:val="26"/>
        </w:rPr>
        <w:t>Актуальность</w:t>
      </w:r>
      <w:r>
        <w:rPr>
          <w:rFonts w:ascii="Times New Roman" w:hAnsi="Times New Roman"/>
          <w:b/>
          <w:bCs/>
          <w:sz w:val="26"/>
          <w:szCs w:val="26"/>
        </w:rPr>
        <w:t> </w:t>
      </w:r>
      <w:r>
        <w:rPr>
          <w:rFonts w:ascii="Times New Roman" w:hAnsi="Times New Roman"/>
          <w:sz w:val="26"/>
          <w:szCs w:val="26"/>
        </w:rPr>
        <w:t>правового просвещения очевидна - она обусловлена современным состоянием всех сфер общественной жизни: экономики, культуры, политики. Сейчас крайне необходимо формировать у детей мировоззрение, основанное на уважении к закону, знании прав человека и умении найти пути решения жизненных проблем. Главная задача помочь детям адаптироваться к жизни, научить их жить в демократическом обществе, регулируя свои отношения с государством и другими людьми.</w:t>
      </w:r>
    </w:p>
    <w:p>
      <w:pPr>
        <w:spacing w:after="0" w:line="360" w:lineRule="auto"/>
        <w:ind w:firstLine="709"/>
        <w:contextualSpacing/>
        <w:jc w:val="both"/>
        <w:rPr>
          <w:rFonts w:ascii="Times New Roman" w:hAnsi="Times New Roman"/>
          <w:sz w:val="26"/>
          <w:szCs w:val="26"/>
        </w:rPr>
      </w:pPr>
      <w:r>
        <w:rPr>
          <w:rFonts w:ascii="Times New Roman" w:hAnsi="Times New Roman"/>
          <w:sz w:val="26"/>
          <w:szCs w:val="26"/>
        </w:rPr>
        <w:t>Организация и проведение мероприятий среди несовершеннолетних правовой направленности имеют свои особенности. Как показала практика, среди несовершеннолетних наиболее эффективны те формы и методы правового просвещения, которые содержат элементы игры, распределения ролей, соревновательный момент и позволяют раскрыть творческий потенциал каждого.</w:t>
      </w:r>
    </w:p>
    <w:p>
      <w:pPr>
        <w:spacing w:after="0" w:line="360" w:lineRule="auto"/>
        <w:ind w:firstLine="709"/>
        <w:contextualSpacing/>
        <w:jc w:val="both"/>
        <w:rPr>
          <w:rFonts w:ascii="Times New Roman" w:hAnsi="Times New Roman"/>
          <w:bCs/>
          <w:sz w:val="26"/>
          <w:szCs w:val="26"/>
        </w:rPr>
      </w:pPr>
      <w:r>
        <w:rPr>
          <w:rFonts w:ascii="Times New Roman" w:hAnsi="Times New Roman"/>
          <w:sz w:val="26"/>
          <w:szCs w:val="26"/>
        </w:rPr>
        <w:t xml:space="preserve">В 2018 году Уполномоченным проведено более 120 мероприятий правовой направленности, участниками которых стали </w:t>
      </w:r>
      <w:r>
        <w:rPr>
          <w:rFonts w:ascii="Times New Roman" w:hAnsi="Times New Roman"/>
          <w:bCs/>
          <w:sz w:val="26"/>
          <w:szCs w:val="26"/>
        </w:rPr>
        <w:t xml:space="preserve">свыше 8600 человек. </w:t>
      </w:r>
    </w:p>
    <w:p>
      <w:pPr>
        <w:spacing w:after="0" w:line="360" w:lineRule="auto"/>
        <w:ind w:firstLine="709"/>
        <w:contextualSpacing/>
        <w:jc w:val="both"/>
        <w:rPr>
          <w:rFonts w:ascii="Times New Roman" w:hAnsi="Times New Roman"/>
          <w:sz w:val="26"/>
          <w:szCs w:val="26"/>
        </w:rPr>
      </w:pPr>
      <w:r>
        <w:rPr>
          <w:rFonts w:ascii="Times New Roman" w:hAnsi="Times New Roman"/>
          <w:bCs/>
          <w:sz w:val="26"/>
          <w:szCs w:val="26"/>
        </w:rPr>
        <w:t xml:space="preserve">Мероприятия проводились для граждан всех возрастов и касались всех сфер жизнедеятельности, в </w:t>
      </w:r>
      <w:r>
        <w:rPr>
          <w:rFonts w:ascii="Times New Roman" w:hAnsi="Times New Roman"/>
          <w:sz w:val="26"/>
          <w:szCs w:val="26"/>
        </w:rPr>
        <w:t xml:space="preserve"> их числе уроки паровой грамотности, уроки информационной безопасности, родительские собрания, посещение социально-реабилитационных центров и школ-интернатов, в рамках которых детям в доступной форме предоставлялась информация о правах, обязанностях и ответственности несовершеннолетних. В большинстве мероприятий принимали участие представители Детского общественного совета при Уполномоченном по правам ребенка в Калужской области и уполномоченные по правам участников образовательного процесса. </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При поддержке Уполномоченного состоялся ставший традиционным фестиваль «Мама в декрете», организаторами которого выступили участники регионального общественного движения поддержки семьи «МамКомпания» г. Тула. В фестивале приняли участие более 100 семей с детьми г. Калуги.</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В рамках подписанного Соглашения о сотрудничестве между Уполномоченным при Президенте РФ по правам ребенка и Всероссийским детско-юношеским военно-патриотическим общественным движением «ЮНАРМИЯ» в 2018 году стартовал проект «Наставничество». Проект направлен на социализацию выпускников сиротских учреждений, приобщение детей к военно-патриотической работе, содействие поиску нравственных ориентиров, социализации и выбора правильного пути в жизни. В рамках реализации проекта на территории Калужской области был организован ряд мероприятий с участием воспитанников ГКУ КО «Азаровский детский дом имени Попова В. Т.» и  ГБУ ЦССВ «БЕРЕГА».</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 xml:space="preserve">Стало доброй традицией в канун новогодних праздников проводить благотворительную акцию «Подари ребенку праздник». Сладкие подарки и игрушки, предоставленные неравнодушными гражданами региона и благотворителями были переданы нуждающимся семьям. </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 xml:space="preserve">Всероссийская акция «Безопасность детства», на территории Калужской области, была реализована с целью предотвращения чрезвычайных происшествий с несовершеннолетними в период летних школьных каникул. В рамках акции, в каждом муниципальном районе, были организованны Отцовские патрули, которые приступили к проведению обследования мест отдыха, досуга и развлечения детей и семей с детьми. Всего, за время проведения акции в Калужской области, обследовано более 800 объектов. Результаты каждого проведенного рейда оформлены актом обследования мест массового пребывания несовершеннолетних, в котором указана подробная информация о выявленных нарушениях. </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В прошедшем году была введена новая форма правового просвещения – правовые квесты. Правовой квест представляет собой интерактивную историю с главными героями. Участникам квеста предлагается правовая ситуация, в которой им необходимо разобраться. Такой формат правового просвещения позволяет развить навык поиска и анализа правовой информации, дает опыт работы с источниками права и текстами правового содержания.</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 xml:space="preserve">Основная цель такого рода методов организации правового просвещения – показать учащимся, что право – это не только обязательные знания, получаемые в образовательном учреждении, это окружающий нас мир, это жизнь. В учебных заведениях г. Калуги и Калужской области  было проведено более 20 правовых квестов. В период летних школьных каникул сотрудники аппарата Уполномоченного организовывали правовые кресты в загородных оздоровительных лагерях Калужской области, в которых приняли участие более 200 детей. На основании результатов проведения правового просвещения в форме правовых квестов и отзывов участников решено продолжить проведение подобного рода мероприятий, а для увеличения числа несовершеннолетних, участвующих в правовых квестах принято решение привлечь к организации квестов студентов ВУЗов Калужской области. </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В 2018 году состоялось открытие площадки «Точки кипения — Калуга» на базе Инновационного культурного центра. «Точка кипения» — это пространство коллективной работы в Калуге для создания комфортных условий кооперации максимально возможного количества общественных групп в регионе. Обсуждение важных вопросов в формате «Точки кипения» позволяет быть услышанным всем слоям населения, это</w:t>
      </w:r>
      <w:r>
        <w:rPr>
          <w:rFonts w:ascii="Arial" w:hAnsi="Arial" w:cs="Arial"/>
          <w:color w:val="333333"/>
          <w:sz w:val="26"/>
          <w:szCs w:val="26"/>
        </w:rPr>
        <w:t xml:space="preserve"> </w:t>
      </w:r>
      <w:r>
        <w:rPr>
          <w:rFonts w:ascii="Times New Roman" w:hAnsi="Times New Roman"/>
          <w:bCs/>
          <w:sz w:val="26"/>
          <w:szCs w:val="26"/>
        </w:rPr>
        <w:t>новая нейтральная площадка для ведения диалога с общественностью. Уполномоченный организовал и провел форсайт-сессии в формате «Точки кипения», в которых приняли участие представители общественности, члены Детского общественного совета при Уполномоченном по правам ребенка в Калужской области, представители органов власти.</w:t>
      </w:r>
    </w:p>
    <w:p>
      <w:pPr>
        <w:spacing w:after="0" w:line="360" w:lineRule="auto"/>
        <w:ind w:firstLine="709"/>
        <w:contextualSpacing/>
        <w:jc w:val="both"/>
        <w:rPr>
          <w:rFonts w:ascii="Times New Roman" w:hAnsi="Times New Roman"/>
          <w:bCs/>
          <w:sz w:val="26"/>
          <w:szCs w:val="26"/>
        </w:rPr>
      </w:pPr>
      <w:r>
        <w:rPr>
          <w:rFonts w:ascii="Times New Roman" w:hAnsi="Times New Roman"/>
          <w:bCs/>
          <w:sz w:val="26"/>
          <w:szCs w:val="26"/>
        </w:rPr>
        <w:t xml:space="preserve">Более 700 человек в 2018 году приняли участие в ежегодном областном конкурсе «Дети – Творчество - Право». Участники конкурса создавали презентации, рисовали плакаты, снимали видеоролики социально-правовой направленности, делали фотографии, демонстрировали участие в театрализованных постановках. </w:t>
      </w:r>
    </w:p>
    <w:p>
      <w:pPr>
        <w:spacing w:after="0" w:line="360" w:lineRule="auto"/>
        <w:ind w:firstLine="709"/>
        <w:contextualSpacing/>
        <w:jc w:val="both"/>
        <w:rPr>
          <w:rFonts w:ascii="Times New Roman" w:hAnsi="Times New Roman"/>
          <w:color w:val="000000"/>
          <w:sz w:val="26"/>
          <w:szCs w:val="26"/>
        </w:rPr>
      </w:pPr>
      <w:r>
        <w:rPr>
          <w:rFonts w:ascii="Times New Roman" w:hAnsi="Times New Roman"/>
          <w:bCs/>
          <w:sz w:val="26"/>
          <w:szCs w:val="26"/>
        </w:rPr>
        <w:t xml:space="preserve">В 2018 году продолжилась работа по реализации проектов </w:t>
      </w:r>
      <w:r>
        <w:rPr>
          <w:rFonts w:ascii="Times New Roman" w:hAnsi="Times New Roman"/>
          <w:color w:val="000000"/>
          <w:sz w:val="26"/>
          <w:szCs w:val="26"/>
        </w:rPr>
        <w:t xml:space="preserve">«Детский общественный совет при Уполномоченном по правам ребенка в Калужской области» и «Уполномоченный по правам участников образовательного процесса». </w:t>
      </w:r>
    </w:p>
    <w:p>
      <w:pPr>
        <w:spacing w:after="0" w:line="360" w:lineRule="auto"/>
        <w:ind w:firstLine="709"/>
        <w:contextualSpacing/>
        <w:jc w:val="both"/>
        <w:rPr>
          <w:rFonts w:ascii="Times New Roman" w:hAnsi="Times New Roman"/>
          <w:bCs/>
          <w:color w:val="000000"/>
          <w:sz w:val="26"/>
          <w:szCs w:val="26"/>
        </w:rPr>
      </w:pPr>
      <w:r>
        <w:rPr>
          <w:rFonts w:ascii="Times New Roman" w:hAnsi="Times New Roman"/>
          <w:color w:val="000000"/>
          <w:sz w:val="26"/>
          <w:szCs w:val="26"/>
        </w:rPr>
        <w:t xml:space="preserve">Участники Детского общественного совета приняли участие в </w:t>
      </w:r>
      <w:r>
        <w:rPr>
          <w:rFonts w:ascii="Times New Roman" w:hAnsi="Times New Roman"/>
          <w:bCs/>
          <w:color w:val="000000"/>
          <w:sz w:val="26"/>
          <w:szCs w:val="26"/>
        </w:rPr>
        <w:t xml:space="preserve">Слете Детских общественных советов при Уполномоченных по правам ребенка в субъектах Российской Федерации, входящих в состав Центрального федерального округа. </w:t>
      </w:r>
    </w:p>
    <w:p>
      <w:pPr>
        <w:spacing w:after="0" w:line="360" w:lineRule="auto"/>
        <w:ind w:firstLine="709"/>
        <w:contextualSpacing/>
        <w:jc w:val="both"/>
        <w:rPr>
          <w:rFonts w:ascii="Times New Roman" w:hAnsi="Times New Roman"/>
          <w:bCs/>
          <w:color w:val="000000"/>
          <w:sz w:val="26"/>
          <w:szCs w:val="26"/>
        </w:rPr>
      </w:pPr>
      <w:r>
        <w:rPr>
          <w:rFonts w:ascii="Times New Roman" w:hAnsi="Times New Roman"/>
          <w:bCs/>
          <w:color w:val="000000"/>
          <w:sz w:val="26"/>
          <w:szCs w:val="26"/>
        </w:rPr>
        <w:t>Для уполномоченных</w:t>
      </w:r>
      <w:r>
        <w:rPr>
          <w:sz w:val="26"/>
          <w:szCs w:val="26"/>
        </w:rPr>
        <w:t xml:space="preserve"> </w:t>
      </w:r>
      <w:r>
        <w:rPr>
          <w:rFonts w:ascii="Times New Roman" w:hAnsi="Times New Roman"/>
          <w:bCs/>
          <w:color w:val="000000"/>
          <w:sz w:val="26"/>
          <w:szCs w:val="26"/>
        </w:rPr>
        <w:t>по правам участников образовательного процесса было организованно обучение на</w:t>
      </w:r>
      <w:r>
        <w:rPr>
          <w:rFonts w:ascii="Times New Roman" w:hAnsi="Times New Roman"/>
          <w:sz w:val="26"/>
          <w:szCs w:val="26"/>
        </w:rPr>
        <w:t xml:space="preserve"> </w:t>
      </w:r>
      <w:r>
        <w:rPr>
          <w:rFonts w:ascii="Times New Roman" w:hAnsi="Times New Roman"/>
          <w:bCs/>
          <w:color w:val="000000"/>
          <w:sz w:val="26"/>
          <w:szCs w:val="26"/>
        </w:rPr>
        <w:t>базе калужского филиала «Российская академия народного хозяйства и государственной службы при Президенте Российской Федерации», в рамках которого состоялось награждение победителей и вручение благодарственных писем участникам областного смотра-конкурса результатов деятельности уполномоченных по правам участников образовательного процесса «Лучший уполномоченный – 2018».</w:t>
      </w:r>
    </w:p>
    <w:p>
      <w:pPr>
        <w:spacing w:after="0" w:line="360" w:lineRule="auto"/>
        <w:ind w:firstLine="709"/>
        <w:contextualSpacing/>
        <w:jc w:val="both"/>
        <w:rPr>
          <w:rFonts w:ascii="Times New Roman" w:hAnsi="Times New Roman"/>
          <w:bCs/>
          <w:color w:val="000000"/>
          <w:sz w:val="26"/>
          <w:szCs w:val="26"/>
        </w:rPr>
      </w:pPr>
      <w:r>
        <w:rPr>
          <w:rFonts w:ascii="Times New Roman" w:hAnsi="Times New Roman"/>
          <w:bCs/>
          <w:color w:val="000000"/>
          <w:sz w:val="26"/>
          <w:szCs w:val="26"/>
        </w:rPr>
        <w:t xml:space="preserve">По инициативе Уполномоченного при Президенте Российской Федерации по правам ребенка, на территории Калужской области был сформирован Совет отцов при Уполномоченном по правам ребенка в Калужской области (далее – Совет отцов). Целью деятельности Совета отцов является разработка, продвижение и реализация различных форм участия отцов в принятии решений по вопросам, затрагивающим интересы ребенка на федеральном, региональном и муниципальных уровнях. В Совет отцов вошли представители УГИБДД УМВД России по Калужской области, ГУ МЧС России по  Калужской области, Управления Федеральной службы войск национальной гвардии Российской Федерации по Калужской области, представители общественных объединений, активные отцы Калужской области. </w:t>
      </w:r>
    </w:p>
    <w:p>
      <w:pPr>
        <w:spacing w:after="0" w:line="360" w:lineRule="auto"/>
        <w:ind w:firstLine="709"/>
        <w:contextualSpacing/>
        <w:jc w:val="both"/>
        <w:rPr>
          <w:rFonts w:ascii="Times New Roman" w:hAnsi="Times New Roman"/>
          <w:bCs/>
          <w:sz w:val="26"/>
          <w:szCs w:val="26"/>
        </w:rPr>
      </w:pPr>
      <w:r>
        <w:rPr>
          <w:rFonts w:ascii="Times New Roman" w:hAnsi="Times New Roman"/>
          <w:bCs/>
          <w:color w:val="000000"/>
          <w:sz w:val="26"/>
          <w:szCs w:val="26"/>
        </w:rPr>
        <w:t xml:space="preserve">Представители Совета отцов в ноябре 2018 года приняли участие в заседании Общественного совета при Уполномоченном при Президенте Российской Федерации по правам ребенка. В  ходе декабрьского отчета депутата Государственной Думы Федерального Собрания Российской Федерации Скляра Геннадия Ивановича состоялись дебаты по вопросам реализации социально значимых проектов на территории Калужской области. Также состоялась встреча с Президентом Международного православного Сретенского кинофестиваля «Встреча» монахиней Софией, в рамках которой было достигнуто соглашение о сотрудничестве на фестивальной площадке «Роль отца в формировании общественного сознания».     </w:t>
      </w:r>
    </w:p>
    <w:p>
      <w:pPr>
        <w:spacing w:after="0" w:line="360" w:lineRule="auto"/>
        <w:ind w:firstLine="708"/>
        <w:contextualSpacing/>
        <w:jc w:val="both"/>
        <w:rPr>
          <w:rFonts w:ascii="Times New Roman" w:hAnsi="Times New Roman"/>
          <w:sz w:val="26"/>
          <w:szCs w:val="26"/>
        </w:rPr>
      </w:pPr>
      <w:r>
        <w:rPr>
          <w:rFonts w:ascii="Times New Roman" w:hAnsi="Times New Roman"/>
          <w:sz w:val="26"/>
          <w:szCs w:val="26"/>
        </w:rPr>
        <w:t>За время работы института Уполномоченного по правам ребенка в Калужской области накоплен положительный опыт проведения такой работы. Вместе с тем есть понимание, что сегодня необходима масштабная работа по правовому просвещению, нравственному воспитанию, духовно-культурному развитию личности, которая должна осуществляться совместными усилиями государственных и общественных структур.</w:t>
      </w: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spacing w:line="240" w:lineRule="auto"/>
        <w:contextualSpacing/>
        <w:jc w:val="center"/>
        <w:rPr>
          <w:rFonts w:ascii="Times New Roman" w:hAnsi="Times New Roman" w:cs="Times New Roman"/>
          <w:sz w:val="26"/>
          <w:szCs w:val="26"/>
        </w:rPr>
      </w:pPr>
    </w:p>
    <w:p>
      <w:pPr>
        <w:keepNext/>
        <w:keepLines/>
        <w:spacing w:after="0" w:line="36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ЗАКЛЮЧЕНИЕ</w:t>
      </w:r>
    </w:p>
    <w:p>
      <w:pPr>
        <w:keepNext/>
        <w:keepLines/>
        <w:spacing w:after="0" w:line="360" w:lineRule="auto"/>
        <w:ind w:firstLine="709"/>
        <w:contextualSpacing/>
        <w:jc w:val="both"/>
        <w:rPr>
          <w:rFonts w:ascii="Times New Roman" w:eastAsia="Times New Roman" w:hAnsi="Times New Roman" w:cs="Times New Roman"/>
          <w:sz w:val="26"/>
          <w:szCs w:val="26"/>
        </w:rPr>
      </w:pP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2018 году Уполномоченным велась целенаправленная работа по улучшению положения детей и семей с детьми в Калужской области, в основе которой лежит защита прав и законных интересов детей.</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Данная работа осуществлялась в тесном взаимодействии с органами государственной власти и местного самоуправления, негосударственными общественными организациями и объединениями, средствами массовой информации. </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2018 году по количеству на первое месту вышли обращения по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т.д. Причем необходимо отметить, что растет число обращений, связанных с алиментными обязательствами.</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втором месте, среди поступивших письменных и устных обращений, занимали обращения по вопросам улучшения жилищных условий, хотя данная категория заявлений всегда занимала лидирующую позицию. Значительная часть данных обращений поступала от детей-сирот и детей, оставшихся без попечения родителей, а также от многодетных семей. Граждан, в основном, беспокоят следующие 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Обращения по вопросам нарушения прав несовершеннолетних в образовательном процессе в основном касаются: устройства в дошкольные и общеобразовательные учреждения, межличностных конфликтов, жалоб на качество образования, подвоза детей к образовательным организациям.</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Остается стабильно большим количество вопросов, связанных с миграционным законодательством (вступление в гражданство Российской Федерации, получение разрешения на временное проживание, вида на жительства, оспаривание решения о выдворении за пределы Российской Федерации).</w:t>
      </w:r>
    </w:p>
    <w:p>
      <w:pPr>
        <w:autoSpaceDE w:val="0"/>
        <w:autoSpaceDN w:val="0"/>
        <w:spacing w:after="0" w:line="36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rPr>
        <w:t xml:space="preserve">Не уменьшается и объем обращений, связанных с просьбой подготовки документов правового характера. Зачастую адвокаты за подготовку исков, апелляций, ходатайств, жалоб требуют не малые денежные средства. Сотрудники аппарата Уполномоченного готовят проекты документов правового характера абсолютно бесплатно, а также выступают в судебных заседаниях в защиту прав несовершеннолетних детей. В 2019 году таких документов было подготовлено - 154. </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hAnsi="Times New Roman" w:cs="Times New Roman"/>
          <w:sz w:val="26"/>
          <w:szCs w:val="26"/>
        </w:rPr>
        <w:t xml:space="preserve">Отдельным направлением в деятельности Уполномоченного и его аппарата является правовое просвещение и распространение информации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Позитивные изменения, которых удалось добиться в рамках реализации основных направлений Национальной стратегии действия в интересах детей в нашем регионе, должны динамично развиваться. Изменения и развитие должны быть во всех направлениях государственной политики в интересах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Необходимо, с учетом результатов достигнутых в ходе реализации Национальной стратегии действий в интересах детей, при определении общегосударственного Плана и региональных Планов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sz w:val="26"/>
          <w:szCs w:val="26"/>
          <w:shd w:val="clear" w:color="auto" w:fill="FFFFFF"/>
        </w:rPr>
        <w:t xml:space="preserve">- </w:t>
      </w:r>
      <w:r>
        <w:rPr>
          <w:rFonts w:ascii="Times New Roman" w:eastAsia="Calibri" w:hAnsi="Times New Roman" w:cs="Times New Roman"/>
          <w:sz w:val="26"/>
          <w:szCs w:val="26"/>
          <w:shd w:val="clear" w:color="auto" w:fill="FFFFFF"/>
        </w:rPr>
        <w:t>усил</w:t>
      </w:r>
      <w:r>
        <w:rPr>
          <w:rFonts w:ascii="Times New Roman" w:hAnsi="Times New Roman"/>
          <w:sz w:val="26"/>
          <w:szCs w:val="26"/>
          <w:shd w:val="clear" w:color="auto" w:fill="FFFFFF"/>
        </w:rPr>
        <w:t>ение</w:t>
      </w:r>
      <w:r>
        <w:rPr>
          <w:rFonts w:ascii="Times New Roman" w:eastAsia="Calibri" w:hAnsi="Times New Roman" w:cs="Times New Roman"/>
          <w:sz w:val="26"/>
          <w:szCs w:val="26"/>
          <w:shd w:val="clear" w:color="auto" w:fill="FFFFFF"/>
        </w:rPr>
        <w:t xml:space="preserve"> работ</w:t>
      </w:r>
      <w:r>
        <w:rPr>
          <w:rFonts w:ascii="Times New Roman" w:hAnsi="Times New Roman"/>
          <w:sz w:val="26"/>
          <w:szCs w:val="26"/>
          <w:shd w:val="clear" w:color="auto" w:fill="FFFFFF"/>
        </w:rPr>
        <w:t>ы</w:t>
      </w:r>
      <w:r>
        <w:rPr>
          <w:rFonts w:ascii="Times New Roman" w:eastAsia="Calibri" w:hAnsi="Times New Roman" w:cs="Times New Roman"/>
          <w:sz w:val="26"/>
          <w:szCs w:val="26"/>
          <w:shd w:val="clear" w:color="auto" w:fill="FFFFFF"/>
        </w:rPr>
        <w:t xml:space="preserve"> по оказанию паллиативной помощи на территории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улучшение медицинского и социального обслуживания детей-инвалидов;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повышение качества образования детей-инвалидов;</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развитие системы профилактических мероприятий, направленных на предотвращение смертей несовершеннолетних;</w:t>
      </w:r>
    </w:p>
    <w:p>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 (необходимо внесение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обеспечение дополнительных возможностей для организации отдыха и оздоровления детей, детского туризма, творческой активности молодежи (необходимо внесение изменений в действующее федеральное законодательство в части принятия Федерального закона «Об отдыхе и оздоровлении детей в Российской Федерации», необходима разработка </w:t>
      </w:r>
      <w:r>
        <w:rPr>
          <w:rFonts w:ascii="Times New Roman" w:hAnsi="Times New Roman"/>
          <w:sz w:val="26"/>
          <w:szCs w:val="26"/>
        </w:rPr>
        <w:t>положения о межведомственном взаимодействии различных структур и ведомств, осуществляющих контроль по выявлению несанкционированного размещения организованных групп детей на объектах, несогласованных с органами исполнительной власти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обеспечение защиты детей от агрессивной информации, несущей вред их здоровью и развитию;</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развитие медиативной помощи семьям, «служб школьной медиации»;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укрепление традиционной семьи, семейных ценностей, развитие сети учреждений и служб,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продолжится работа по реализации и развитию проектов:</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Общественный совет при Уполномоченном по правам ребенка в Калужской области;</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Уполномоченные по правам участников образовательного процесса;</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 Общественных помощников Уполномоченного в муниципальных образованиях Калужской области.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в 2019 году будут проведены уже ставшие традиционными: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«Дети – Творчество - Право»;</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профильная правовая смена «Ты, Он, Она – правовая мы страна»;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«Лучший уполномоченный по правам участников образовательного процесса»;</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конкурс «В объективе Калужская семья»;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мероприятия, приуроченные к памятным и праздничным датам.</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 Особое внимание в мониторинговой деятельности будет уделено вопросам: </w:t>
      </w:r>
    </w:p>
    <w:p>
      <w:pPr>
        <w:spacing w:after="0" w:line="36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обеспечения имущественных прав детей-сирот и детей, оставшихся без попечения родителей, в части взыскания алиментов с родителей, лишенных (ограниченных) в родительских правах</w:t>
      </w:r>
      <w:r>
        <w:rPr>
          <w:rFonts w:ascii="Times New Roman" w:hAnsi="Times New Roman" w:cs="Times New Roman"/>
          <w:sz w:val="24"/>
          <w:szCs w:val="24"/>
        </w:rPr>
        <w:t>;</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обеспечения прав детей-сирот и детей, оставшихся без попечения родителей, в части оплаты жилищно-коммунальных услуг по жилью, закрепленному за детьми-сиротами и детьми, оставшимися без попечения родителей;</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соблюдения прав детей на отдых, оздоровление, безопасность и полноценное развитие при проведении летней оздоровительной кампании;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социально-опасном положении;</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eastAsia="Times New Roman" w:hAnsi="Times New Roman" w:cs="Times New Roman"/>
          <w:bCs/>
          <w:sz w:val="26"/>
          <w:szCs w:val="26"/>
          <w:lang w:eastAsia="ar-SA"/>
        </w:rPr>
        <w:t>соблюдения прав несовершеннолетних при предоставлении социальных услуг.</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целом, в 2019 году Уполномоченный продолжит работу по основным направлениям деятельности и особое внимание будет уделено:</w:t>
      </w:r>
    </w:p>
    <w:p>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осуществлению контроля за реализацией прав детей-сирот и детей, оставшихся без попечения родителей, на жилье;</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осуществлению контроля за реализацией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6"/>
          <w:szCs w:val="26"/>
        </w:rPr>
        <w:t>прав детей-сирот и детей, оставшихся без попечения родителей, детей-инвалидов, детей с ограниченными возможностями здоровья в образовательном процессе;</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организации питания в образовательных организациях Калужской области;</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условиях семьи и образовательного учреждения, в том числе </w:t>
      </w:r>
      <w:r>
        <w:rPr>
          <w:rFonts w:ascii="Times New Roman" w:eastAsia="Calibri" w:hAnsi="Times New Roman" w:cs="Times New Roman"/>
          <w:color w:val="000000"/>
          <w:sz w:val="26"/>
          <w:szCs w:val="26"/>
          <w:shd w:val="clear" w:color="auto" w:fill="FFFFFF"/>
        </w:rPr>
        <w:t>работе с подростками с деструктивным поведением</w:t>
      </w:r>
      <w:r>
        <w:rPr>
          <w:rFonts w:ascii="Times New Roman" w:hAnsi="Times New Roman"/>
          <w:color w:val="000000"/>
          <w:sz w:val="26"/>
          <w:szCs w:val="26"/>
          <w:shd w:val="clear" w:color="auto" w:fill="FFFFFF"/>
        </w:rPr>
        <w:t>;</w:t>
      </w:r>
    </w:p>
    <w:p>
      <w:pPr>
        <w:spacing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rPr>
        <w:t xml:space="preserve">- осуществлению контроля за реализацией прав детей в системе исполнения наказаний, в том числе продолжению организации </w:t>
      </w:r>
      <w:r>
        <w:rPr>
          <w:rFonts w:ascii="Times New Roman" w:hAnsi="Times New Roman" w:cs="Times New Roman"/>
          <w:sz w:val="26"/>
          <w:szCs w:val="26"/>
        </w:rPr>
        <w:t>надлежащего учебно-воспитательного процесса в следственных изоляторах, в которых содержатся несовершеннолетние, в том числе с применением дистанционных образовательных технологий.</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контролю за обеспечением безопасного нахождения детей в детских оздоровительных организациях;</w:t>
      </w:r>
    </w:p>
    <w:p>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правовому просвещению граждан;</w:t>
      </w:r>
    </w:p>
    <w:p>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eastAsia="Times New Roman" w:cs="Times New Roman"/>
        </w:rPr>
        <w:t xml:space="preserve"> </w:t>
      </w:r>
      <w:r>
        <w:rPr>
          <w:rFonts w:ascii="Times New Roman" w:eastAsia="Times New Roman" w:hAnsi="Times New Roman" w:cs="Times New Roman"/>
          <w:sz w:val="26"/>
          <w:szCs w:val="26"/>
        </w:rPr>
        <w:t>формированию у несовершеннолетних граждан правовых знаний и навыков безопасного поведения в сети Интернет.</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том, что комплексный подход к защите прав ребенка не всегда обеспечивается.</w:t>
      </w:r>
    </w:p>
    <w:p>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Поэтому, как и в прошлые годы, основной целью деятельности Уполномоченного остается обеспечение государственной защиты прав ребенка, соблюдения органами государственной власти, органами местного самоуправления и должностными лицами на территории Калужской области прав и законных интересов детей.</w:t>
      </w: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rPr>
          <w:rFonts w:ascii="Times New Roman" w:hAnsi="Times New Roman" w:cs="Times New Roman"/>
          <w:sz w:val="26"/>
          <w:szCs w:val="26"/>
        </w:rPr>
      </w:pPr>
    </w:p>
    <w:p>
      <w:pPr>
        <w:spacing w:after="0" w:line="360" w:lineRule="auto"/>
        <w:ind w:firstLine="709"/>
        <w:contextualSpacing/>
        <w:jc w:val="both"/>
      </w:pPr>
    </w:p>
    <w:p>
      <w:pPr>
        <w:spacing w:line="240" w:lineRule="auto"/>
        <w:contextualSpacing/>
        <w:jc w:val="center"/>
        <w:rPr>
          <w:rFonts w:ascii="Times New Roman" w:hAnsi="Times New Roman" w:cs="Times New Roman"/>
          <w:sz w:val="26"/>
          <w:szCs w:val="26"/>
        </w:rPr>
      </w:pPr>
    </w:p>
    <w:sectPr>
      <w:headerReference w:type="default" r:id="rId27"/>
      <w:pgSz w:w="11906" w:h="16838"/>
      <w:pgMar w:top="567" w:right="850" w:bottom="56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62414"/>
      <w:docPartObj>
        <w:docPartGallery w:val="Page Numbers (Top of Page)"/>
        <w:docPartUnique/>
      </w:docPartObj>
    </w:sdtPr>
    <w:sdtEndPr>
      <w:rPr>
        <w:rFonts w:ascii="Times New Roman" w:hAnsi="Times New Roman" w:cs="Times New Roman"/>
      </w:rPr>
    </w:sdtEndPr>
    <w:sdtContent>
      <w:p>
        <w:pPr>
          <w:pStyle w:val="a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pPr>
      <w:pStyle w:val="ad"/>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3EF1CA"/>
    <w:lvl w:ilvl="0">
      <w:numFmt w:val="bullet"/>
      <w:lvlText w:val="*"/>
      <w:lvlJc w:val="left"/>
    </w:lvl>
  </w:abstractNum>
  <w:abstractNum w:abstractNumId="1" w15:restartNumberingAfterBreak="0">
    <w:nsid w:val="308D548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 w15:restartNumberingAfterBreak="0">
    <w:nsid w:val="49B56E9C"/>
    <w:multiLevelType w:val="singleLevel"/>
    <w:tmpl w:val="27288334"/>
    <w:lvl w:ilvl="0">
      <w:start w:val="2"/>
      <w:numFmt w:val="decimal"/>
      <w:lvlText w:val="%1."/>
      <w:legacy w:legacy="1" w:legacySpace="0" w:legacyIndent="269"/>
      <w:lvlJc w:val="left"/>
      <w:rPr>
        <w:rFonts w:ascii="Times New Roman" w:hAnsi="Times New Roman" w:cs="Times New Roman" w:hint="default"/>
      </w:rPr>
    </w:lvl>
  </w:abstractNum>
  <w:abstractNum w:abstractNumId="3" w15:restartNumberingAfterBreak="0">
    <w:nsid w:val="5FC42337"/>
    <w:multiLevelType w:val="hybridMultilevel"/>
    <w:tmpl w:val="CFC667F6"/>
    <w:lvl w:ilvl="0" w:tplc="0C72E1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60336128"/>
    <w:multiLevelType w:val="hybridMultilevel"/>
    <w:tmpl w:val="F0E899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6FA26606"/>
    <w:multiLevelType w:val="hybridMultilevel"/>
    <w:tmpl w:val="767E3858"/>
    <w:lvl w:ilvl="0" w:tplc="8D2EC06A">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7E5C65B7"/>
    <w:multiLevelType w:val="hybridMultilevel"/>
    <w:tmpl w:val="50B468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
    <w:abstractNumId w:val="2"/>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3"/>
  </w:num>
  <w:num w:numId="5">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6">
    <w:abstractNumId w:val="4"/>
  </w:num>
  <w:num w:numId="7">
    <w:abstractNumId w:val="1"/>
    <w:lvlOverride w:ilvl="0">
      <w:startOverride w:val="1"/>
    </w:lvlOverride>
  </w:num>
  <w:num w:numId="8">
    <w:abstractNumId w:val="5"/>
  </w:num>
  <w:num w:numId="9">
    <w:abstractNumId w:val="6"/>
  </w:num>
  <w:num w:numId="10">
    <w:abstractNumId w:val="0"/>
    <w:lvlOverride w:ilvl="0">
      <w:lvl w:ilvl="0">
        <w:start w:val="65535"/>
        <w:numFmt w:val="bullet"/>
        <w:lvlText w:val="-"/>
        <w:legacy w:legacy="1" w:legacySpace="0" w:legacyIndent="13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CC58D91-42F9-4FF8-96EB-E7BF4CCC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pPr>
      <w:widowControl w:val="0"/>
      <w:autoSpaceDE w:val="0"/>
      <w:autoSpaceDN w:val="0"/>
      <w:adjustRightInd w:val="0"/>
      <w:spacing w:before="108" w:after="108" w:line="240" w:lineRule="auto"/>
      <w:jc w:val="center"/>
      <w:outlineLvl w:val="0"/>
    </w:pPr>
    <w:rPr>
      <w:rFonts w:ascii="Arial" w:eastAsia="Times New Roman" w:hAnsi="Arial" w:cs="Times New Roman"/>
      <w:b/>
      <w:color w:val="26282F"/>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sz w:val="26"/>
      <w:szCs w:val="26"/>
      <w:shd w:val="clear" w:color="auto" w:fill="FFFFFF"/>
    </w:rPr>
  </w:style>
  <w:style w:type="paragraph" w:customStyle="1" w:styleId="20">
    <w:name w:val="Основной текст (2)"/>
    <w:basedOn w:val="a"/>
    <w:link w:val="2"/>
    <w:pPr>
      <w:widowControl w:val="0"/>
      <w:shd w:val="clear" w:color="auto" w:fill="FFFFFF"/>
      <w:spacing w:after="0" w:line="341" w:lineRule="exact"/>
      <w:jc w:val="both"/>
    </w:pPr>
    <w:rPr>
      <w:rFonts w:ascii="Times New Roman" w:eastAsia="Times New Roman" w:hAnsi="Times New Roman"/>
      <w:sz w:val="26"/>
      <w:szCs w:val="26"/>
    </w:rPr>
  </w:style>
  <w:style w:type="paragraph" w:styleId="a3">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Pr>
      <w:rFonts w:ascii="Times New Roman" w:hAnsi="Times New Roman" w:cs="Times New Roman"/>
      <w:sz w:val="24"/>
      <w:szCs w:val="24"/>
    </w:rPr>
  </w:style>
  <w:style w:type="character" w:customStyle="1" w:styleId="FontStyle62">
    <w:name w:val="Font Style62"/>
    <w:basedOn w:val="a0"/>
    <w:uiPriority w:val="99"/>
    <w:rPr>
      <w:rFonts w:ascii="Times New Roman" w:hAnsi="Times New Roman" w:cs="Times New Roman"/>
      <w:b/>
      <w:bCs/>
      <w:sz w:val="24"/>
      <w:szCs w:val="24"/>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Tahoma" w:hAnsi="Tahoma" w:cs="Tahoma"/>
      <w:sz w:val="16"/>
      <w:szCs w:val="16"/>
    </w:rPr>
  </w:style>
  <w:style w:type="paragraph" w:styleId="a6">
    <w:name w:val="No Spacing"/>
    <w:uiPriority w:val="1"/>
    <w:qFormat/>
    <w:pPr>
      <w:spacing w:after="0" w:line="240" w:lineRule="auto"/>
    </w:pPr>
    <w:rPr>
      <w:rFonts w:ascii="Calibri" w:eastAsia="Times New Roman" w:hAnsi="Calibri" w:cs="Times New Roman"/>
      <w:lang w:eastAsia="ru-RU"/>
    </w:rPr>
  </w:style>
  <w:style w:type="character" w:styleId="a7">
    <w:name w:val="Hyperlink"/>
    <w:basedOn w:val="a0"/>
    <w:uiPriority w:val="99"/>
    <w:unhideWhenUsed/>
    <w:rPr>
      <w:color w:val="0000FF" w:themeColor="hyperlink"/>
      <w:u w:val="single"/>
    </w:rPr>
  </w:style>
  <w:style w:type="table" w:styleId="a8">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Pr>
      <w:i/>
      <w:iCs/>
    </w:rPr>
  </w:style>
  <w:style w:type="character" w:customStyle="1" w:styleId="link">
    <w:name w:val="link"/>
    <w:basedOn w:val="a0"/>
  </w:style>
  <w:style w:type="paragraph" w:styleId="aa">
    <w:name w:val="List Paragraph"/>
    <w:basedOn w:val="a"/>
    <w:uiPriority w:val="34"/>
    <w:qFormat/>
    <w:pPr>
      <w:spacing w:after="0" w:line="240" w:lineRule="auto"/>
      <w:ind w:left="720"/>
      <w:contextualSpacing/>
    </w:pPr>
    <w:rPr>
      <w:rFonts w:ascii="Times New Roman" w:hAnsi="Times New Roman"/>
      <w:sz w:val="26"/>
    </w:rPr>
  </w:style>
  <w:style w:type="character" w:customStyle="1" w:styleId="10">
    <w:name w:val="Заголовок 1 Знак"/>
    <w:basedOn w:val="a0"/>
    <w:link w:val="1"/>
    <w:uiPriority w:val="99"/>
    <w:rPr>
      <w:rFonts w:ascii="Arial" w:eastAsia="Times New Roman" w:hAnsi="Arial" w:cs="Times New Roman"/>
      <w:b/>
      <w:color w:val="26282F"/>
      <w:sz w:val="24"/>
      <w:szCs w:val="20"/>
      <w:lang w:eastAsia="ru-RU"/>
    </w:rPr>
  </w:style>
  <w:style w:type="paragraph" w:customStyle="1" w:styleId="uk-margin">
    <w:name w:val="uk-margin"/>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pPr>
      <w:spacing w:after="60"/>
      <w:jc w:val="center"/>
      <w:outlineLvl w:val="1"/>
    </w:pPr>
    <w:rPr>
      <w:rFonts w:ascii="Cambria" w:eastAsia="Times New Roman" w:hAnsi="Cambria" w:cs="Times New Roman"/>
      <w:sz w:val="24"/>
      <w:szCs w:val="24"/>
    </w:rPr>
  </w:style>
  <w:style w:type="character" w:customStyle="1" w:styleId="ac">
    <w:name w:val="Подзаголовок Знак"/>
    <w:basedOn w:val="a0"/>
    <w:link w:val="ab"/>
    <w:uiPriority w:val="11"/>
    <w:rPr>
      <w:rFonts w:ascii="Cambria" w:eastAsia="Times New Roman" w:hAnsi="Cambria" w:cs="Times New Roman"/>
      <w:sz w:val="24"/>
      <w:szCs w:val="24"/>
    </w:rPr>
  </w:style>
  <w:style w:type="paragraph" w:styleId="ad">
    <w:name w:val="header"/>
    <w:basedOn w:val="a"/>
    <w:link w:val="ae"/>
    <w:uiPriority w:val="99"/>
    <w:unhideWhenUsed/>
    <w:pPr>
      <w:tabs>
        <w:tab w:val="center" w:pos="4677"/>
        <w:tab w:val="right" w:pos="9355"/>
      </w:tabs>
      <w:spacing w:after="0" w:line="240" w:lineRule="auto"/>
    </w:pPr>
  </w:style>
  <w:style w:type="character" w:customStyle="1" w:styleId="ae">
    <w:name w:val="Верхний колонтитул Знак"/>
    <w:basedOn w:val="a0"/>
    <w:link w:val="ad"/>
    <w:uiPriority w:val="99"/>
  </w:style>
  <w:style w:type="paragraph" w:styleId="af">
    <w:name w:val="footer"/>
    <w:basedOn w:val="a"/>
    <w:link w:val="af0"/>
    <w:uiPriority w:val="99"/>
    <w:semiHidden/>
    <w:unhideWhenUsed/>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4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79;&#1072;%202018%20&#1075;&#1086;&#1076;\&#1044;&#1080;&#1072;&#1075;&#1088;&#1072;&#1084;&#1084;&#1072;%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aitseva_en\Desktop\&#1052;&#1086;&#1080;%20&#1076;&#1086;&#1082;&#1091;&#1084;&#1077;&#1085;&#1090;&#1099;\&#1044;&#1054;&#1050;&#1051;&#1040;&#1044;&#1067;\&#1050;%20&#1044;&#1054;&#1050;&#1051;&#1040;&#1044;&#1059;%20&#1059;&#1087;&#1086;&#1083;&#1085;&#1086;&#1084;&#1086;&#1095;&#1077;&#1085;&#1085;&#1086;&#1075;&#1086;%20%20&#1079;&#1072;%202018%20&#1075;&#1086;&#1076;\&#1044;&#1080;&#1072;&#1075;&#1088;&#1072;&#1084;&#1084;&#1072;%204.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98673082531354E-2"/>
          <c:y val="0.16697444069491346"/>
          <c:w val="0.74319243948673164"/>
          <c:h val="0.63318566148089872"/>
        </c:manualLayout>
      </c:layout>
      <c:lineChart>
        <c:grouping val="stacked"/>
        <c:varyColors val="0"/>
        <c:ser>
          <c:idx val="0"/>
          <c:order val="0"/>
          <c:tx>
            <c:strRef>
              <c:f>Лист1!$B$1</c:f>
              <c:strCache>
                <c:ptCount val="1"/>
                <c:pt idx="0">
                  <c:v>Ряд 1</c:v>
                </c:pt>
              </c:strCache>
            </c:strRef>
          </c:tx>
          <c:dLbls>
            <c:dLbl>
              <c:idx val="0"/>
              <c:layout>
                <c:manualLayout>
                  <c:x val="-4.6296296296296481E-2"/>
                  <c:y val="7.1428571428571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8B-4104-A5F0-ED1A3BCBA0A2}"/>
                </c:ext>
              </c:extLst>
            </c:dLbl>
            <c:dLbl>
              <c:idx val="1"/>
              <c:layout>
                <c:manualLayout>
                  <c:x val="-5.5555555555555455E-2"/>
                  <c:y val="7.1428571428571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8B-4104-A5F0-ED1A3BCBA0A2}"/>
                </c:ext>
              </c:extLst>
            </c:dLbl>
            <c:dLbl>
              <c:idx val="2"/>
              <c:layout>
                <c:manualLayout>
                  <c:x val="-6.2500000000000111E-2"/>
                  <c:y val="6.7460317460317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8B-4104-A5F0-ED1A3BCBA0A2}"/>
                </c:ext>
              </c:extLst>
            </c:dLbl>
            <c:dLbl>
              <c:idx val="3"/>
              <c:layout>
                <c:manualLayout>
                  <c:x val="-5.7870370370370385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8B-4104-A5F0-ED1A3BCBA0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12774</c:v>
                </c:pt>
                <c:pt idx="1">
                  <c:v>12252</c:v>
                </c:pt>
                <c:pt idx="2">
                  <c:v>10955</c:v>
                </c:pt>
                <c:pt idx="3">
                  <c:v>10355</c:v>
                </c:pt>
              </c:numCache>
            </c:numRef>
          </c:val>
          <c:smooth val="0"/>
          <c:extLst>
            <c:ext xmlns:c16="http://schemas.microsoft.com/office/drawing/2014/chart" uri="{C3380CC4-5D6E-409C-BE32-E72D297353CC}">
              <c16:uniqueId val="{00000004-BE8B-4104-A5F0-ED1A3BCBA0A2}"/>
            </c:ext>
          </c:extLst>
        </c:ser>
        <c:dLbls>
          <c:showLegendKey val="0"/>
          <c:showVal val="0"/>
          <c:showCatName val="0"/>
          <c:showSerName val="0"/>
          <c:showPercent val="0"/>
          <c:showBubbleSize val="0"/>
        </c:dLbls>
        <c:marker val="1"/>
        <c:smooth val="0"/>
        <c:axId val="136647424"/>
        <c:axId val="136648960"/>
      </c:lineChart>
      <c:catAx>
        <c:axId val="136647424"/>
        <c:scaling>
          <c:orientation val="minMax"/>
        </c:scaling>
        <c:delete val="0"/>
        <c:axPos val="b"/>
        <c:numFmt formatCode="General" sourceLinked="1"/>
        <c:majorTickMark val="out"/>
        <c:minorTickMark val="none"/>
        <c:tickLblPos val="nextTo"/>
        <c:crossAx val="136648960"/>
        <c:crosses val="autoZero"/>
        <c:auto val="1"/>
        <c:lblAlgn val="ctr"/>
        <c:lblOffset val="100"/>
        <c:noMultiLvlLbl val="0"/>
      </c:catAx>
      <c:valAx>
        <c:axId val="136648960"/>
        <c:scaling>
          <c:orientation val="minMax"/>
        </c:scaling>
        <c:delete val="0"/>
        <c:axPos val="l"/>
        <c:majorGridlines/>
        <c:numFmt formatCode="General" sourceLinked="1"/>
        <c:majorTickMark val="out"/>
        <c:minorTickMark val="none"/>
        <c:tickLblPos val="nextTo"/>
        <c:crossAx val="136647424"/>
        <c:crosses val="autoZero"/>
        <c:crossBetween val="between"/>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Количество оздоровительных учреждений и отдохнувших в них детей </a:t>
            </a:r>
          </a:p>
        </c:rich>
      </c:tx>
      <c:layout>
        <c:manualLayout>
          <c:xMode val="edge"/>
          <c:yMode val="edge"/>
          <c:x val="0.14807096691838437"/>
          <c:y val="4.6296254153202099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9.6539499463975526E-2"/>
          <c:y val="5.1400554097404488E-2"/>
          <c:w val="0.73187037387861364"/>
          <c:h val="0.47504119276757084"/>
        </c:manualLayout>
      </c:layout>
      <c:bar3DChart>
        <c:barDir val="col"/>
        <c:grouping val="clustered"/>
        <c:varyColors val="0"/>
        <c:ser>
          <c:idx val="0"/>
          <c:order val="0"/>
          <c:tx>
            <c:strRef>
              <c:f>Лист1!$B$2:$B$3</c:f>
              <c:strCache>
                <c:ptCount val="1"/>
                <c:pt idx="0">
                  <c:v>2018 кол-во уч- ний</c:v>
                </c:pt>
              </c:strCache>
            </c:strRef>
          </c:tx>
          <c:spPr>
            <a:solidFill>
              <a:srgbClr val="00B0F0"/>
            </a:solidFill>
          </c:spPr>
          <c:invertIfNegative val="0"/>
          <c:dLbls>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Лист1!$A$4:$A$11</c:f>
              <c:strCache>
                <c:ptCount val="8"/>
                <c:pt idx="0">
                  <c:v>стационарные </c:v>
                </c:pt>
                <c:pt idx="1">
                  <c:v>санаторные </c:v>
                </c:pt>
                <c:pt idx="2">
                  <c:v>дневные</c:v>
                </c:pt>
                <c:pt idx="3">
                  <c:v>палаточные</c:v>
                </c:pt>
                <c:pt idx="4">
                  <c:v>ЛТО </c:v>
                </c:pt>
                <c:pt idx="5">
                  <c:v>специализированные </c:v>
                </c:pt>
                <c:pt idx="6">
                  <c:v>многодневные турпоходы </c:v>
                </c:pt>
                <c:pt idx="7">
                  <c:v>Черное и Азовское море </c:v>
                </c:pt>
              </c:strCache>
            </c:strRef>
          </c:cat>
          <c:val>
            <c:numRef>
              <c:f>Лист1!$B$4:$B$11</c:f>
              <c:numCache>
                <c:formatCode>General</c:formatCode>
                <c:ptCount val="8"/>
                <c:pt idx="0">
                  <c:v>15</c:v>
                </c:pt>
                <c:pt idx="1">
                  <c:v>4</c:v>
                </c:pt>
                <c:pt idx="2">
                  <c:v>343</c:v>
                </c:pt>
                <c:pt idx="3">
                  <c:v>9</c:v>
                </c:pt>
                <c:pt idx="4">
                  <c:v>4</c:v>
                </c:pt>
                <c:pt idx="5">
                  <c:v>2</c:v>
                </c:pt>
                <c:pt idx="6">
                  <c:v>104</c:v>
                </c:pt>
                <c:pt idx="7">
                  <c:v>5</c:v>
                </c:pt>
              </c:numCache>
            </c:numRef>
          </c:val>
          <c:extLst>
            <c:ext xmlns:c16="http://schemas.microsoft.com/office/drawing/2014/chart" uri="{C3380CC4-5D6E-409C-BE32-E72D297353CC}">
              <c16:uniqueId val="{00000000-A434-494E-8293-BDA3A177F3C8}"/>
            </c:ext>
          </c:extLst>
        </c:ser>
        <c:ser>
          <c:idx val="1"/>
          <c:order val="1"/>
          <c:tx>
            <c:strRef>
              <c:f>Лист1!$C$2:$C$3</c:f>
              <c:strCache>
                <c:ptCount val="1"/>
                <c:pt idx="0">
                  <c:v>2018 кол-во детей </c:v>
                </c:pt>
              </c:strCache>
            </c:strRef>
          </c:tx>
          <c:spPr>
            <a:solidFill>
              <a:srgbClr val="FF0000"/>
            </a:solidFill>
          </c:spPr>
          <c:invertIfNegative val="0"/>
          <c:dLbls>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Лист1!$A$4:$A$11</c:f>
              <c:strCache>
                <c:ptCount val="8"/>
                <c:pt idx="0">
                  <c:v>стационарные </c:v>
                </c:pt>
                <c:pt idx="1">
                  <c:v>санаторные </c:v>
                </c:pt>
                <c:pt idx="2">
                  <c:v>дневные</c:v>
                </c:pt>
                <c:pt idx="3">
                  <c:v>палаточные</c:v>
                </c:pt>
                <c:pt idx="4">
                  <c:v>ЛТО </c:v>
                </c:pt>
                <c:pt idx="5">
                  <c:v>специализированные </c:v>
                </c:pt>
                <c:pt idx="6">
                  <c:v>многодневные турпоходы </c:v>
                </c:pt>
                <c:pt idx="7">
                  <c:v>Черное и Азовское море </c:v>
                </c:pt>
              </c:strCache>
            </c:strRef>
          </c:cat>
          <c:val>
            <c:numRef>
              <c:f>Лист1!$C$4:$C$11</c:f>
              <c:numCache>
                <c:formatCode>General</c:formatCode>
                <c:ptCount val="8"/>
                <c:pt idx="0">
                  <c:v>11601</c:v>
                </c:pt>
                <c:pt idx="1">
                  <c:v>925</c:v>
                </c:pt>
                <c:pt idx="2">
                  <c:v>15468</c:v>
                </c:pt>
                <c:pt idx="3">
                  <c:v>806</c:v>
                </c:pt>
                <c:pt idx="4">
                  <c:v>463</c:v>
                </c:pt>
                <c:pt idx="5">
                  <c:v>2081</c:v>
                </c:pt>
                <c:pt idx="6">
                  <c:v>10274</c:v>
                </c:pt>
                <c:pt idx="7">
                  <c:v>735</c:v>
                </c:pt>
              </c:numCache>
            </c:numRef>
          </c:val>
          <c:extLst>
            <c:ext xmlns:c16="http://schemas.microsoft.com/office/drawing/2014/chart" uri="{C3380CC4-5D6E-409C-BE32-E72D297353CC}">
              <c16:uniqueId val="{00000001-A434-494E-8293-BDA3A177F3C8}"/>
            </c:ext>
          </c:extLst>
        </c:ser>
        <c:dLbls>
          <c:showLegendKey val="0"/>
          <c:showVal val="1"/>
          <c:showCatName val="0"/>
          <c:showSerName val="0"/>
          <c:showPercent val="0"/>
          <c:showBubbleSize val="0"/>
        </c:dLbls>
        <c:gapWidth val="150"/>
        <c:shape val="box"/>
        <c:axId val="138334592"/>
        <c:axId val="138336128"/>
        <c:axId val="0"/>
      </c:bar3DChart>
      <c:catAx>
        <c:axId val="138334592"/>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138336128"/>
        <c:crosses val="autoZero"/>
        <c:auto val="1"/>
        <c:lblAlgn val="ctr"/>
        <c:lblOffset val="100"/>
        <c:noMultiLvlLbl val="0"/>
      </c:catAx>
      <c:valAx>
        <c:axId val="138336128"/>
        <c:scaling>
          <c:orientation val="minMax"/>
        </c:scaling>
        <c:delete val="1"/>
        <c:axPos val="l"/>
        <c:numFmt formatCode="General" sourceLinked="1"/>
        <c:majorTickMark val="out"/>
        <c:minorTickMark val="none"/>
        <c:tickLblPos val="none"/>
        <c:crossAx val="138334592"/>
        <c:crosses val="autoZero"/>
        <c:crossBetween val="between"/>
      </c:valAx>
    </c:plotArea>
    <c:legend>
      <c:legendPos val="r"/>
      <c:layout>
        <c:manualLayout>
          <c:xMode val="edge"/>
          <c:yMode val="edge"/>
          <c:x val="0.81294039396952689"/>
          <c:y val="0.52802069542192187"/>
          <c:w val="0.17426097121818818"/>
          <c:h val="0.12981931802744248"/>
        </c:manualLayout>
      </c:layout>
      <c:overlay val="0"/>
      <c:txPr>
        <a:bodyPr/>
        <a:lstStyle/>
        <a:p>
          <a:pPr>
            <a:defRPr sz="8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Количество детей,</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отдохнувших в период летней оздоровительной кампании </a:t>
            </a:r>
          </a:p>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в 2017, 2018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32784538296348"/>
          <c:y val="0.16983651660473367"/>
          <c:w val="0.7843678915135609"/>
          <c:h val="0.38344441534612322"/>
        </c:manualLayout>
      </c:layout>
      <c:bar3DChart>
        <c:barDir val="col"/>
        <c:grouping val="clustered"/>
        <c:varyColors val="0"/>
        <c:ser>
          <c:idx val="0"/>
          <c:order val="0"/>
          <c:tx>
            <c:strRef>
              <c:f>Лист1!$B$2</c:f>
              <c:strCache>
                <c:ptCount val="1"/>
                <c:pt idx="0">
                  <c:v>2017</c:v>
                </c:pt>
              </c:strCache>
            </c:strRef>
          </c:tx>
          <c:spPr>
            <a:solidFill>
              <a:srgbClr val="00B0F0"/>
            </a:solidFill>
          </c:spPr>
          <c:invertIfNegative val="0"/>
          <c:dLbls>
            <c:dLbl>
              <c:idx val="1"/>
              <c:layout>
                <c:manualLayout>
                  <c:x val="4.6136101499423404E-3"/>
                  <c:y val="-2.644628558101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16-4006-BB7A-01B1E7880FFE}"/>
                </c:ext>
              </c:extLst>
            </c:dLbl>
            <c:dLbl>
              <c:idx val="2"/>
              <c:layout>
                <c:manualLayout>
                  <c:x val="0"/>
                  <c:y val="-9.355224003610527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16-4006-BB7A-01B1E7880FFE}"/>
                </c:ext>
              </c:extLst>
            </c:dLbl>
            <c:dLbl>
              <c:idx val="3"/>
              <c:layout>
                <c:manualLayout>
                  <c:x val="7.5757575757575924E-3"/>
                  <c:y val="-2.644628558101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16-4006-BB7A-01B1E7880FFE}"/>
                </c:ext>
              </c:extLst>
            </c:dLbl>
            <c:dLbl>
              <c:idx val="4"/>
              <c:layout>
                <c:manualLayout>
                  <c:x val="6.9204152249134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16-4006-BB7A-01B1E7880FFE}"/>
                </c:ext>
              </c:extLst>
            </c:dLbl>
            <c:dLbl>
              <c:idx val="6"/>
              <c:layout>
                <c:manualLayout>
                  <c:x val="-6.8521471529739524E-3"/>
                  <c:y val="9.0026168040428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16-4006-BB7A-01B1E7880FFE}"/>
                </c:ext>
              </c:extLst>
            </c:dLbl>
            <c:dLbl>
              <c:idx val="7"/>
              <c:layout>
                <c:manualLayout>
                  <c:x val="1.3840830449827085E-2"/>
                  <c:y val="-1.3223142790506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16-4006-BB7A-01B1E7880FFE}"/>
                </c:ext>
              </c:extLst>
            </c:dLbl>
            <c:spPr>
              <a:noFill/>
              <a:ln>
                <a:noFill/>
              </a:ln>
              <a:effectLst/>
            </c:spPr>
            <c:txPr>
              <a:bodyPr/>
              <a:lstStyle/>
              <a:p>
                <a:pPr>
                  <a:defRPr sz="800" b="1">
                    <a:solidFill>
                      <a:schemeClr val="tx2"/>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Лист1!$A$3:$A$10</c:f>
              <c:strCache>
                <c:ptCount val="8"/>
                <c:pt idx="0">
                  <c:v>стационарные</c:v>
                </c:pt>
                <c:pt idx="1">
                  <c:v>санаторные</c:v>
                </c:pt>
                <c:pt idx="2">
                  <c:v>дневные лагеря </c:v>
                </c:pt>
                <c:pt idx="3">
                  <c:v>палаточные </c:v>
                </c:pt>
                <c:pt idx="4">
                  <c:v>ЛТО</c:v>
                </c:pt>
                <c:pt idx="5">
                  <c:v>специализированные </c:v>
                </c:pt>
                <c:pt idx="6">
                  <c:v>многодневные походы </c:v>
                </c:pt>
                <c:pt idx="7">
                  <c:v>Черное и Азовское море </c:v>
                </c:pt>
              </c:strCache>
            </c:strRef>
          </c:cat>
          <c:val>
            <c:numRef>
              <c:f>Лист1!$B$3:$B$10</c:f>
              <c:numCache>
                <c:formatCode>General</c:formatCode>
                <c:ptCount val="8"/>
                <c:pt idx="0">
                  <c:v>12741</c:v>
                </c:pt>
                <c:pt idx="1">
                  <c:v>1305</c:v>
                </c:pt>
                <c:pt idx="2">
                  <c:v>16954</c:v>
                </c:pt>
                <c:pt idx="3">
                  <c:v>1225</c:v>
                </c:pt>
                <c:pt idx="4">
                  <c:v>437</c:v>
                </c:pt>
                <c:pt idx="5">
                  <c:v>0</c:v>
                </c:pt>
                <c:pt idx="6">
                  <c:v>8740</c:v>
                </c:pt>
                <c:pt idx="7">
                  <c:v>777</c:v>
                </c:pt>
              </c:numCache>
            </c:numRef>
          </c:val>
          <c:extLst>
            <c:ext xmlns:c16="http://schemas.microsoft.com/office/drawing/2014/chart" uri="{C3380CC4-5D6E-409C-BE32-E72D297353CC}">
              <c16:uniqueId val="{00000006-D916-4006-BB7A-01B1E7880FFE}"/>
            </c:ext>
          </c:extLst>
        </c:ser>
        <c:ser>
          <c:idx val="1"/>
          <c:order val="1"/>
          <c:tx>
            <c:strRef>
              <c:f>Лист1!$C$2</c:f>
              <c:strCache>
                <c:ptCount val="1"/>
                <c:pt idx="0">
                  <c:v>2018</c:v>
                </c:pt>
              </c:strCache>
            </c:strRef>
          </c:tx>
          <c:spPr>
            <a:solidFill>
              <a:srgbClr val="FF0000"/>
            </a:solidFill>
          </c:spPr>
          <c:invertIfNegative val="0"/>
          <c:dLbls>
            <c:dLbl>
              <c:idx val="0"/>
              <c:layout>
                <c:manualLayout>
                  <c:x val="3.7004967804630091E-2"/>
                  <c:y val="-4.407714263502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16-4006-BB7A-01B1E7880FFE}"/>
                </c:ext>
              </c:extLst>
            </c:dLbl>
            <c:dLbl>
              <c:idx val="1"/>
              <c:layout>
                <c:manualLayout>
                  <c:x val="1.6147635524798153E-2"/>
                  <c:y val="8.815428527004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16-4006-BB7A-01B1E7880FFE}"/>
                </c:ext>
              </c:extLst>
            </c:dLbl>
            <c:dLbl>
              <c:idx val="2"/>
              <c:layout>
                <c:manualLayout>
                  <c:x val="3.6349617197504465E-2"/>
                  <c:y val="4.407714263502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16-4006-BB7A-01B1E7880FFE}"/>
                </c:ext>
              </c:extLst>
            </c:dLbl>
            <c:dLbl>
              <c:idx val="3"/>
              <c:layout>
                <c:manualLayout>
                  <c:x val="1.7676767676767683E-2"/>
                  <c:y val="4.407714263502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16-4006-BB7A-01B1E7880FFE}"/>
                </c:ext>
              </c:extLst>
            </c:dLbl>
            <c:dLbl>
              <c:idx val="4"/>
              <c:layout>
                <c:manualLayout>
                  <c:x val="1.0756432262576179E-2"/>
                  <c:y val="-2.203857131751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16-4006-BB7A-01B1E7880FFE}"/>
                </c:ext>
              </c:extLst>
            </c:dLbl>
            <c:dLbl>
              <c:idx val="5"/>
              <c:layout>
                <c:manualLayout>
                  <c:x val="1.51515151515151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16-4006-BB7A-01B1E7880FFE}"/>
                </c:ext>
              </c:extLst>
            </c:dLbl>
            <c:dLbl>
              <c:idx val="6"/>
              <c:layout>
                <c:manualLayout>
                  <c:x val="2.7777777777777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16-4006-BB7A-01B1E7880FFE}"/>
                </c:ext>
              </c:extLst>
            </c:dLbl>
            <c:dLbl>
              <c:idx val="7"/>
              <c:layout>
                <c:manualLayout>
                  <c:x val="2.27272727272729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16-4006-BB7A-01B1E7880FFE}"/>
                </c:ext>
              </c:extLst>
            </c:dLbl>
            <c:spPr>
              <a:noFill/>
              <a:ln>
                <a:noFill/>
              </a:ln>
              <a:effectLst/>
            </c:spPr>
            <c:txPr>
              <a:bodyPr/>
              <a:lstStyle/>
              <a:p>
                <a:pPr>
                  <a:defRPr sz="800" b="1">
                    <a:solidFill>
                      <a:schemeClr val="accent2"/>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Лист1!$A$3:$A$10</c:f>
              <c:strCache>
                <c:ptCount val="8"/>
                <c:pt idx="0">
                  <c:v>стационарные</c:v>
                </c:pt>
                <c:pt idx="1">
                  <c:v>санаторные</c:v>
                </c:pt>
                <c:pt idx="2">
                  <c:v>дневные лагеря </c:v>
                </c:pt>
                <c:pt idx="3">
                  <c:v>палаточные </c:v>
                </c:pt>
                <c:pt idx="4">
                  <c:v>ЛТО</c:v>
                </c:pt>
                <c:pt idx="5">
                  <c:v>специализированные </c:v>
                </c:pt>
                <c:pt idx="6">
                  <c:v>многодневные походы </c:v>
                </c:pt>
                <c:pt idx="7">
                  <c:v>Черное и Азовское море </c:v>
                </c:pt>
              </c:strCache>
            </c:strRef>
          </c:cat>
          <c:val>
            <c:numRef>
              <c:f>Лист1!$C$3:$C$10</c:f>
              <c:numCache>
                <c:formatCode>General</c:formatCode>
                <c:ptCount val="8"/>
                <c:pt idx="0">
                  <c:v>11601</c:v>
                </c:pt>
                <c:pt idx="1">
                  <c:v>925</c:v>
                </c:pt>
                <c:pt idx="2">
                  <c:v>15468</c:v>
                </c:pt>
                <c:pt idx="3">
                  <c:v>806</c:v>
                </c:pt>
                <c:pt idx="4">
                  <c:v>463</c:v>
                </c:pt>
                <c:pt idx="5">
                  <c:v>2081</c:v>
                </c:pt>
                <c:pt idx="6">
                  <c:v>10274</c:v>
                </c:pt>
                <c:pt idx="7">
                  <c:v>735</c:v>
                </c:pt>
              </c:numCache>
            </c:numRef>
          </c:val>
          <c:extLst>
            <c:ext xmlns:c16="http://schemas.microsoft.com/office/drawing/2014/chart" uri="{C3380CC4-5D6E-409C-BE32-E72D297353CC}">
              <c16:uniqueId val="{0000000F-D916-4006-BB7A-01B1E7880FFE}"/>
            </c:ext>
          </c:extLst>
        </c:ser>
        <c:dLbls>
          <c:showLegendKey val="0"/>
          <c:showVal val="1"/>
          <c:showCatName val="0"/>
          <c:showSerName val="0"/>
          <c:showPercent val="0"/>
          <c:showBubbleSize val="0"/>
        </c:dLbls>
        <c:gapWidth val="150"/>
        <c:shape val="box"/>
        <c:axId val="138562944"/>
        <c:axId val="138564736"/>
        <c:axId val="0"/>
      </c:bar3DChart>
      <c:catAx>
        <c:axId val="138562944"/>
        <c:scaling>
          <c:orientation val="minMax"/>
        </c:scaling>
        <c:delete val="0"/>
        <c:axPos val="b"/>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ru-RU"/>
          </a:p>
        </c:txPr>
        <c:crossAx val="138564736"/>
        <c:crosses val="autoZero"/>
        <c:auto val="1"/>
        <c:lblAlgn val="ctr"/>
        <c:lblOffset val="100"/>
        <c:noMultiLvlLbl val="0"/>
      </c:catAx>
      <c:valAx>
        <c:axId val="138564736"/>
        <c:scaling>
          <c:orientation val="minMax"/>
        </c:scaling>
        <c:delete val="1"/>
        <c:axPos val="l"/>
        <c:numFmt formatCode="General" sourceLinked="1"/>
        <c:majorTickMark val="out"/>
        <c:minorTickMark val="none"/>
        <c:tickLblPos val="none"/>
        <c:crossAx val="138562944"/>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Объем средств, выделенных на организацию отдыха и оздоровления в </a:t>
            </a:r>
          </a:p>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2017, 2018 годах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2017 год</c:v>
                </c:pt>
              </c:strCache>
            </c:strRef>
          </c:tx>
          <c:spPr>
            <a:solidFill>
              <a:srgbClr val="00B0F0"/>
            </a:solidFill>
          </c:spPr>
          <c:invertIfNegative val="0"/>
          <c:dLbls>
            <c:dLbl>
              <c:idx val="0"/>
              <c:layout>
                <c:manualLayout>
                  <c:x val="5.5555555555555558E-3"/>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E-4903-B27D-CA1339CD05B4}"/>
                </c:ext>
              </c:extLst>
            </c:dLbl>
            <c:dLbl>
              <c:idx val="1"/>
              <c:layout>
                <c:manualLayout>
                  <c:x val="8.3333333333333228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E-4903-B27D-CA1339CD05B4}"/>
                </c:ext>
              </c:extLst>
            </c:dLbl>
            <c:dLbl>
              <c:idx val="2"/>
              <c:layout>
                <c:manualLayout>
                  <c:x val="2.132936349652437E-3"/>
                  <c:y val="-2.7777777777777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E-4903-B27D-CA1339CD05B4}"/>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областной</c:v>
                </c:pt>
                <c:pt idx="1">
                  <c:v>средства МР</c:v>
                </c:pt>
                <c:pt idx="2">
                  <c:v>средства предприятий, родителей </c:v>
                </c:pt>
              </c:strCache>
            </c:strRef>
          </c:cat>
          <c:val>
            <c:numRef>
              <c:f>Лист1!$B$3:$B$5</c:f>
              <c:numCache>
                <c:formatCode>General</c:formatCode>
                <c:ptCount val="3"/>
                <c:pt idx="0">
                  <c:v>126.2</c:v>
                </c:pt>
                <c:pt idx="1">
                  <c:v>56.3</c:v>
                </c:pt>
                <c:pt idx="2">
                  <c:v>44.6</c:v>
                </c:pt>
              </c:numCache>
            </c:numRef>
          </c:val>
          <c:extLst>
            <c:ext xmlns:c16="http://schemas.microsoft.com/office/drawing/2014/chart" uri="{C3380CC4-5D6E-409C-BE32-E72D297353CC}">
              <c16:uniqueId val="{00000003-06EE-4903-B27D-CA1339CD05B4}"/>
            </c:ext>
          </c:extLst>
        </c:ser>
        <c:ser>
          <c:idx val="1"/>
          <c:order val="1"/>
          <c:tx>
            <c:strRef>
              <c:f>Лист1!$C$2</c:f>
              <c:strCache>
                <c:ptCount val="1"/>
                <c:pt idx="0">
                  <c:v>2018 год</c:v>
                </c:pt>
              </c:strCache>
            </c:strRef>
          </c:tx>
          <c:spPr>
            <a:solidFill>
              <a:srgbClr val="FF0000"/>
            </a:solidFill>
          </c:spPr>
          <c:invertIfNegative val="0"/>
          <c:dLbls>
            <c:dLbl>
              <c:idx val="0"/>
              <c:layout>
                <c:manualLayout>
                  <c:x val="2.5446434494585599E-2"/>
                  <c:y val="-1.851851851851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EE-4903-B27D-CA1339CD05B4}"/>
                </c:ext>
              </c:extLst>
            </c:dLbl>
            <c:dLbl>
              <c:idx val="1"/>
              <c:layout>
                <c:manualLayout>
                  <c:x val="1.6269769758758237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EE-4903-B27D-CA1339CD05B4}"/>
                </c:ext>
              </c:extLst>
            </c:dLbl>
            <c:dLbl>
              <c:idx val="2"/>
              <c:layout>
                <c:manualLayout>
                  <c:x val="2.5000000000000001E-2"/>
                  <c:y val="-1.3888888888888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EE-4903-B27D-CA1339CD05B4}"/>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областной</c:v>
                </c:pt>
                <c:pt idx="1">
                  <c:v>средства МР</c:v>
                </c:pt>
                <c:pt idx="2">
                  <c:v>средства предприятий, родителей </c:v>
                </c:pt>
              </c:strCache>
            </c:strRef>
          </c:cat>
          <c:val>
            <c:numRef>
              <c:f>Лист1!$C$3:$C$5</c:f>
              <c:numCache>
                <c:formatCode>General</c:formatCode>
                <c:ptCount val="3"/>
                <c:pt idx="0">
                  <c:v>125.9</c:v>
                </c:pt>
                <c:pt idx="1">
                  <c:v>50.3</c:v>
                </c:pt>
                <c:pt idx="2">
                  <c:v>73.8</c:v>
                </c:pt>
              </c:numCache>
            </c:numRef>
          </c:val>
          <c:extLst>
            <c:ext xmlns:c16="http://schemas.microsoft.com/office/drawing/2014/chart" uri="{C3380CC4-5D6E-409C-BE32-E72D297353CC}">
              <c16:uniqueId val="{00000007-06EE-4903-B27D-CA1339CD05B4}"/>
            </c:ext>
          </c:extLst>
        </c:ser>
        <c:dLbls>
          <c:showLegendKey val="0"/>
          <c:showVal val="1"/>
          <c:showCatName val="0"/>
          <c:showSerName val="0"/>
          <c:showPercent val="0"/>
          <c:showBubbleSize val="0"/>
        </c:dLbls>
        <c:gapWidth val="150"/>
        <c:shape val="box"/>
        <c:axId val="138586752"/>
        <c:axId val="138596736"/>
        <c:axId val="0"/>
      </c:bar3DChart>
      <c:catAx>
        <c:axId val="138586752"/>
        <c:scaling>
          <c:orientation val="minMax"/>
        </c:scaling>
        <c:delete val="0"/>
        <c:axPos val="b"/>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ru-RU"/>
          </a:p>
        </c:txPr>
        <c:crossAx val="138596736"/>
        <c:crosses val="autoZero"/>
        <c:auto val="1"/>
        <c:lblAlgn val="ctr"/>
        <c:lblOffset val="100"/>
        <c:noMultiLvlLbl val="0"/>
      </c:catAx>
      <c:valAx>
        <c:axId val="138596736"/>
        <c:scaling>
          <c:orientation val="minMax"/>
        </c:scaling>
        <c:delete val="1"/>
        <c:axPos val="l"/>
        <c:numFmt formatCode="General" sourceLinked="1"/>
        <c:majorTickMark val="out"/>
        <c:minorTickMark val="none"/>
        <c:tickLblPos val="none"/>
        <c:crossAx val="138586752"/>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a:t>
            </a:r>
            <a:r>
              <a:rPr lang="ru-RU" sz="1100" baseline="0">
                <a:latin typeface="Times New Roman" panose="02020603050405020304" pitchFamily="18" charset="0"/>
                <a:cs typeface="Times New Roman" panose="02020603050405020304" pitchFamily="18" charset="0"/>
              </a:rPr>
              <a:t> отдохнувших детей категории "тжс" в 2017, 2018 годах </a:t>
            </a:r>
            <a:endParaRPr lang="ru-RU" sz="11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4.xlsx]Лист1'!$B$2</c:f>
              <c:strCache>
                <c:ptCount val="1"/>
                <c:pt idx="0">
                  <c:v>2017 год </c:v>
                </c:pt>
              </c:strCache>
            </c:strRef>
          </c:tx>
          <c:spPr>
            <a:solidFill>
              <a:srgbClr val="00B0F0"/>
            </a:solidFill>
          </c:spPr>
          <c:invertIfNegative val="0"/>
          <c:dLbls>
            <c:dLbl>
              <c:idx val="0"/>
              <c:layout>
                <c:manualLayout>
                  <c:x val="4.1994750656167978E-3"/>
                  <c:y val="-1.4897579143389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A8-49B0-83B9-AFBA2ADDFCE7}"/>
                </c:ext>
              </c:extLst>
            </c:dLbl>
            <c:dLbl>
              <c:idx val="4"/>
              <c:layout>
                <c:manualLayout>
                  <c:x val="8.3989501312335957E-3"/>
                  <c:y val="-3.72439478584733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A8-49B0-83B9-AFBA2ADDFCE7}"/>
                </c:ext>
              </c:extLst>
            </c:dLbl>
            <c:spPr>
              <a:noFill/>
              <a:ln>
                <a:noFill/>
              </a:ln>
              <a:effectLst/>
            </c:spPr>
            <c:txPr>
              <a:bodyPr/>
              <a:lstStyle/>
              <a:p>
                <a:pPr>
                  <a:defRPr sz="800" b="1">
                    <a:solidFill>
                      <a:schemeClr val="tx2"/>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4.xlsx]Лист1'!$A$3:$A$7</c:f>
              <c:strCache>
                <c:ptCount val="5"/>
                <c:pt idx="0">
                  <c:v>дети-сироты и без попечения родителей </c:v>
                </c:pt>
                <c:pt idx="1">
                  <c:v>дети-инвалиды и ОВЗ </c:v>
                </c:pt>
                <c:pt idx="2">
                  <c:v>дети из районов Чернобыльской зоны </c:v>
                </c:pt>
                <c:pt idx="3">
                  <c:v>дети из социально-незащищенных семей  </c:v>
                </c:pt>
                <c:pt idx="4">
                  <c:v>дети, состоящие на учете в ПДН и КДН </c:v>
                </c:pt>
              </c:strCache>
            </c:strRef>
          </c:cat>
          <c:val>
            <c:numRef>
              <c:f>'[Диаграмма 4.xlsx]Лист1'!$B$3:$B$7</c:f>
              <c:numCache>
                <c:formatCode>General</c:formatCode>
                <c:ptCount val="5"/>
                <c:pt idx="0">
                  <c:v>100</c:v>
                </c:pt>
                <c:pt idx="1">
                  <c:v>1534</c:v>
                </c:pt>
                <c:pt idx="2">
                  <c:v>5411</c:v>
                </c:pt>
                <c:pt idx="3">
                  <c:v>17774</c:v>
                </c:pt>
                <c:pt idx="4">
                  <c:v>660</c:v>
                </c:pt>
              </c:numCache>
            </c:numRef>
          </c:val>
          <c:extLst>
            <c:ext xmlns:c16="http://schemas.microsoft.com/office/drawing/2014/chart" uri="{C3380CC4-5D6E-409C-BE32-E72D297353CC}">
              <c16:uniqueId val="{00000002-1AA8-49B0-83B9-AFBA2ADDFCE7}"/>
            </c:ext>
          </c:extLst>
        </c:ser>
        <c:ser>
          <c:idx val="1"/>
          <c:order val="1"/>
          <c:tx>
            <c:strRef>
              <c:f>'[Диаграмма 4.xlsx]Лист1'!$C$2</c:f>
              <c:strCache>
                <c:ptCount val="1"/>
                <c:pt idx="0">
                  <c:v>2018 год </c:v>
                </c:pt>
              </c:strCache>
            </c:strRef>
          </c:tx>
          <c:spPr>
            <a:solidFill>
              <a:srgbClr val="FF0000"/>
            </a:solidFill>
          </c:spPr>
          <c:invertIfNegative val="0"/>
          <c:dLbls>
            <c:dLbl>
              <c:idx val="0"/>
              <c:layout>
                <c:manualLayout>
                  <c:x val="1.8897637795275601E-2"/>
                  <c:y val="-1.1173184357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A8-49B0-83B9-AFBA2ADDFCE7}"/>
                </c:ext>
              </c:extLst>
            </c:dLbl>
            <c:dLbl>
              <c:idx val="1"/>
              <c:layout>
                <c:manualLayout>
                  <c:x val="2.0997375328084072E-2"/>
                  <c:y val="-1.4897579143389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A8-49B0-83B9-AFBA2ADDFCE7}"/>
                </c:ext>
              </c:extLst>
            </c:dLbl>
            <c:dLbl>
              <c:idx val="2"/>
              <c:layout>
                <c:manualLayout>
                  <c:x val="2.5196850393700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A8-49B0-83B9-AFBA2ADDFCE7}"/>
                </c:ext>
              </c:extLst>
            </c:dLbl>
            <c:dLbl>
              <c:idx val="3"/>
              <c:layout>
                <c:manualLayout>
                  <c:x val="2.7296587926509252E-2"/>
                  <c:y val="-7.44878957169462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A8-49B0-83B9-AFBA2ADDFCE7}"/>
                </c:ext>
              </c:extLst>
            </c:dLbl>
            <c:dLbl>
              <c:idx val="4"/>
              <c:layout>
                <c:manualLayout>
                  <c:x val="1.6797900262467264E-2"/>
                  <c:y val="-7.44878957169462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A8-49B0-83B9-AFBA2ADDFCE7}"/>
                </c:ext>
              </c:extLst>
            </c:dLbl>
            <c:spPr>
              <a:noFill/>
              <a:ln>
                <a:noFill/>
              </a:ln>
              <a:effectLst/>
            </c:spPr>
            <c:txPr>
              <a:bodyPr/>
              <a:lstStyle/>
              <a:p>
                <a:pPr>
                  <a:defRPr sz="800" b="1">
                    <a:solidFill>
                      <a:schemeClr val="accent2"/>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4.xlsx]Лист1'!$A$3:$A$7</c:f>
              <c:strCache>
                <c:ptCount val="5"/>
                <c:pt idx="0">
                  <c:v>дети-сироты и без попечения родителей </c:v>
                </c:pt>
                <c:pt idx="1">
                  <c:v>дети-инвалиды и ОВЗ </c:v>
                </c:pt>
                <c:pt idx="2">
                  <c:v>дети из районов Чернобыльской зоны </c:v>
                </c:pt>
                <c:pt idx="3">
                  <c:v>дети из социально-незащищенных семей  </c:v>
                </c:pt>
                <c:pt idx="4">
                  <c:v>дети, состоящие на учете в ПДН и КДН </c:v>
                </c:pt>
              </c:strCache>
            </c:strRef>
          </c:cat>
          <c:val>
            <c:numRef>
              <c:f>'[Диаграмма 4.xlsx]Лист1'!$C$3:$C$7</c:f>
              <c:numCache>
                <c:formatCode>General</c:formatCode>
                <c:ptCount val="5"/>
                <c:pt idx="0">
                  <c:v>1059</c:v>
                </c:pt>
                <c:pt idx="1">
                  <c:v>640</c:v>
                </c:pt>
                <c:pt idx="2">
                  <c:v>5027</c:v>
                </c:pt>
                <c:pt idx="3">
                  <c:v>15713</c:v>
                </c:pt>
                <c:pt idx="4">
                  <c:v>623</c:v>
                </c:pt>
              </c:numCache>
            </c:numRef>
          </c:val>
          <c:extLst>
            <c:ext xmlns:c16="http://schemas.microsoft.com/office/drawing/2014/chart" uri="{C3380CC4-5D6E-409C-BE32-E72D297353CC}">
              <c16:uniqueId val="{00000008-1AA8-49B0-83B9-AFBA2ADDFCE7}"/>
            </c:ext>
          </c:extLst>
        </c:ser>
        <c:dLbls>
          <c:showLegendKey val="0"/>
          <c:showVal val="1"/>
          <c:showCatName val="0"/>
          <c:showSerName val="0"/>
          <c:showPercent val="0"/>
          <c:showBubbleSize val="0"/>
        </c:dLbls>
        <c:gapWidth val="150"/>
        <c:shape val="box"/>
        <c:axId val="138786688"/>
        <c:axId val="138788224"/>
        <c:axId val="0"/>
      </c:bar3DChart>
      <c:catAx>
        <c:axId val="138786688"/>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38788224"/>
        <c:crosses val="autoZero"/>
        <c:auto val="1"/>
        <c:lblAlgn val="ctr"/>
        <c:lblOffset val="100"/>
        <c:noMultiLvlLbl val="0"/>
      </c:catAx>
      <c:valAx>
        <c:axId val="138788224"/>
        <c:scaling>
          <c:orientation val="minMax"/>
        </c:scaling>
        <c:delete val="1"/>
        <c:axPos val="l"/>
        <c:numFmt formatCode="General" sourceLinked="1"/>
        <c:majorTickMark val="out"/>
        <c:minorTickMark val="none"/>
        <c:tickLblPos val="none"/>
        <c:crossAx val="138786688"/>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53</c:v>
                </c:pt>
                <c:pt idx="1">
                  <c:v>89</c:v>
                </c:pt>
                <c:pt idx="2">
                  <c:v>66</c:v>
                </c:pt>
                <c:pt idx="3">
                  <c:v>51</c:v>
                </c:pt>
                <c:pt idx="4">
                  <c:v>17</c:v>
                </c:pt>
                <c:pt idx="5">
                  <c:v>117</c:v>
                </c:pt>
              </c:numCache>
            </c:numRef>
          </c:val>
          <c:extLst>
            <c:ext xmlns:c16="http://schemas.microsoft.com/office/drawing/2014/chart" uri="{C3380CC4-5D6E-409C-BE32-E72D297353CC}">
              <c16:uniqueId val="{00000000-E4F1-4593-A5C6-B4391510E7B3}"/>
            </c:ext>
          </c:extLst>
        </c:ser>
        <c:ser>
          <c:idx val="1"/>
          <c:order val="1"/>
          <c:tx>
            <c:strRef>
              <c:f>Лист1!$C$1</c:f>
              <c:strCache>
                <c:ptCount val="1"/>
                <c:pt idx="0">
                  <c:v>2018 г.</c:v>
                </c:pt>
              </c:strCache>
            </c:strRef>
          </c:tx>
          <c:spPr>
            <a:solidFill>
              <a:srgbClr val="FF0000"/>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52</c:v>
                </c:pt>
                <c:pt idx="1">
                  <c:v>68</c:v>
                </c:pt>
                <c:pt idx="2">
                  <c:v>62</c:v>
                </c:pt>
                <c:pt idx="3">
                  <c:v>44</c:v>
                </c:pt>
                <c:pt idx="4">
                  <c:v>32</c:v>
                </c:pt>
                <c:pt idx="5">
                  <c:v>139</c:v>
                </c:pt>
              </c:numCache>
            </c:numRef>
          </c:val>
          <c:extLst>
            <c:ext xmlns:c16="http://schemas.microsoft.com/office/drawing/2014/chart" uri="{C3380CC4-5D6E-409C-BE32-E72D297353CC}">
              <c16:uniqueId val="{00000001-E4F1-4593-A5C6-B4391510E7B3}"/>
            </c:ext>
          </c:extLst>
        </c:ser>
        <c:dLbls>
          <c:showLegendKey val="0"/>
          <c:showVal val="0"/>
          <c:showCatName val="0"/>
          <c:showSerName val="0"/>
          <c:showPercent val="0"/>
          <c:showBubbleSize val="0"/>
        </c:dLbls>
        <c:gapWidth val="150"/>
        <c:axId val="125100800"/>
        <c:axId val="125102336"/>
      </c:barChart>
      <c:catAx>
        <c:axId val="12510080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25102336"/>
        <c:crosses val="autoZero"/>
        <c:auto val="1"/>
        <c:lblAlgn val="ctr"/>
        <c:lblOffset val="100"/>
        <c:noMultiLvlLbl val="0"/>
      </c:catAx>
      <c:valAx>
        <c:axId val="125102336"/>
        <c:scaling>
          <c:orientation val="minMax"/>
        </c:scaling>
        <c:delete val="0"/>
        <c:axPos val="l"/>
        <c:majorGridlines/>
        <c:numFmt formatCode="General" sourceLinked="1"/>
        <c:majorTickMark val="out"/>
        <c:minorTickMark val="none"/>
        <c:tickLblPos val="nextTo"/>
        <c:crossAx val="1251008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72713418154141"/>
          <c:y val="2.6154345547796002E-2"/>
          <c:w val="0.7436357478775566"/>
          <c:h val="0.65526735628634669"/>
        </c:manualLayout>
      </c:layout>
      <c:barChart>
        <c:barDir val="col"/>
        <c:grouping val="clustered"/>
        <c:varyColors val="0"/>
        <c:ser>
          <c:idx val="0"/>
          <c:order val="0"/>
          <c:tx>
            <c:strRef>
              <c:f>Лист1!$B$1</c:f>
              <c:strCache>
                <c:ptCount val="1"/>
                <c:pt idx="0">
                  <c:v>2017 г.</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Лист1!$B$2:$B$9</c:f>
              <c:numCache>
                <c:formatCode>General</c:formatCode>
                <c:ptCount val="8"/>
                <c:pt idx="0">
                  <c:v>3</c:v>
                </c:pt>
                <c:pt idx="1">
                  <c:v>0</c:v>
                </c:pt>
                <c:pt idx="2">
                  <c:v>257</c:v>
                </c:pt>
                <c:pt idx="3">
                  <c:v>24</c:v>
                </c:pt>
                <c:pt idx="4">
                  <c:v>3</c:v>
                </c:pt>
                <c:pt idx="5">
                  <c:v>26</c:v>
                </c:pt>
                <c:pt idx="6">
                  <c:v>20</c:v>
                </c:pt>
                <c:pt idx="7">
                  <c:v>60</c:v>
                </c:pt>
              </c:numCache>
            </c:numRef>
          </c:val>
          <c:extLst>
            <c:ext xmlns:c16="http://schemas.microsoft.com/office/drawing/2014/chart" uri="{C3380CC4-5D6E-409C-BE32-E72D297353CC}">
              <c16:uniqueId val="{00000000-E023-4676-A1D9-7DDE749FDF66}"/>
            </c:ext>
          </c:extLst>
        </c:ser>
        <c:ser>
          <c:idx val="1"/>
          <c:order val="1"/>
          <c:tx>
            <c:strRef>
              <c:f>Лист1!$C$1</c:f>
              <c:strCache>
                <c:ptCount val="1"/>
                <c:pt idx="0">
                  <c:v>2018 г.</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Лист1!$C$2:$C$9</c:f>
              <c:numCache>
                <c:formatCode>General</c:formatCode>
                <c:ptCount val="8"/>
                <c:pt idx="0">
                  <c:v>3</c:v>
                </c:pt>
                <c:pt idx="1">
                  <c:v>1</c:v>
                </c:pt>
                <c:pt idx="2">
                  <c:v>251</c:v>
                </c:pt>
                <c:pt idx="3">
                  <c:v>19</c:v>
                </c:pt>
                <c:pt idx="4">
                  <c:v>3</c:v>
                </c:pt>
                <c:pt idx="5">
                  <c:v>19</c:v>
                </c:pt>
                <c:pt idx="6">
                  <c:v>42</c:v>
                </c:pt>
                <c:pt idx="7">
                  <c:v>59</c:v>
                </c:pt>
              </c:numCache>
            </c:numRef>
          </c:val>
          <c:extLst>
            <c:ext xmlns:c16="http://schemas.microsoft.com/office/drawing/2014/chart" uri="{C3380CC4-5D6E-409C-BE32-E72D297353CC}">
              <c16:uniqueId val="{00000001-E023-4676-A1D9-7DDE749FDF66}"/>
            </c:ext>
          </c:extLst>
        </c:ser>
        <c:dLbls>
          <c:showLegendKey val="0"/>
          <c:showVal val="0"/>
          <c:showCatName val="0"/>
          <c:showSerName val="0"/>
          <c:showPercent val="0"/>
          <c:showBubbleSize val="0"/>
        </c:dLbls>
        <c:gapWidth val="150"/>
        <c:axId val="140635136"/>
        <c:axId val="140653312"/>
      </c:barChart>
      <c:catAx>
        <c:axId val="1406351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0653312"/>
        <c:crosses val="autoZero"/>
        <c:auto val="1"/>
        <c:lblAlgn val="ctr"/>
        <c:lblOffset val="100"/>
        <c:noMultiLvlLbl val="0"/>
      </c:catAx>
      <c:valAx>
        <c:axId val="140653312"/>
        <c:scaling>
          <c:orientation val="minMax"/>
        </c:scaling>
        <c:delete val="0"/>
        <c:axPos val="l"/>
        <c:majorGridlines/>
        <c:numFmt formatCode="General" sourceLinked="1"/>
        <c:majorTickMark val="out"/>
        <c:minorTickMark val="none"/>
        <c:tickLblPos val="nextTo"/>
        <c:crossAx val="140635136"/>
        <c:crosses val="autoZero"/>
        <c:crossBetween val="between"/>
      </c:valAx>
    </c:plotArea>
    <c:legend>
      <c:legendPos val="r"/>
      <c:layout>
        <c:manualLayout>
          <c:xMode val="edge"/>
          <c:yMode val="edge"/>
          <c:x val="0.88953179239691749"/>
          <c:y val="0.3691004065668263"/>
          <c:w val="8.8962831258995831E-2"/>
          <c:h val="7.8792650918635687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0070C0"/>
              </a:solidFill>
            </c:spPr>
            <c:extLst>
              <c:ext xmlns:c16="http://schemas.microsoft.com/office/drawing/2014/chart" uri="{C3380CC4-5D6E-409C-BE32-E72D297353CC}">
                <c16:uniqueId val="{00000000-3DEA-44EA-8474-EB86A5E44A53}"/>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222</c:v>
                </c:pt>
                <c:pt idx="1">
                  <c:v>0</c:v>
                </c:pt>
                <c:pt idx="2">
                  <c:v>70</c:v>
                </c:pt>
                <c:pt idx="3">
                  <c:v>5</c:v>
                </c:pt>
              </c:numCache>
            </c:numRef>
          </c:val>
          <c:extLst>
            <c:ext xmlns:c16="http://schemas.microsoft.com/office/drawing/2014/chart" uri="{C3380CC4-5D6E-409C-BE32-E72D297353CC}">
              <c16:uniqueId val="{00000001-3DEA-44EA-8474-EB86A5E44A5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год</c:v>
                </c:pt>
              </c:strCache>
            </c:strRef>
          </c:tx>
          <c:spPr>
            <a:solidFill>
              <a:srgbClr val="00B0F0"/>
            </a:solidFill>
          </c:spPr>
          <c:invertIfNegative val="0"/>
          <c:cat>
            <c:strRef>
              <c:f>Лист1!$A$2:$A$7</c:f>
              <c:strCache>
                <c:ptCount val="6"/>
                <c:pt idx="0">
                  <c:v>Родители</c:v>
                </c:pt>
                <c:pt idx="1">
                  <c:v>Члены семьи</c:v>
                </c:pt>
                <c:pt idx="2">
                  <c:v>Сожители</c:v>
                </c:pt>
                <c:pt idx="3">
                  <c:v>Родственники</c:v>
                </c:pt>
                <c:pt idx="4">
                  <c:v>Знакомые</c:v>
                </c:pt>
                <c:pt idx="5">
                  <c:v>иные лица</c:v>
                </c:pt>
              </c:strCache>
            </c:strRef>
          </c:cat>
          <c:val>
            <c:numRef>
              <c:f>Лист1!$B$2:$B$7</c:f>
              <c:numCache>
                <c:formatCode>General</c:formatCode>
                <c:ptCount val="6"/>
                <c:pt idx="0">
                  <c:v>36</c:v>
                </c:pt>
                <c:pt idx="1">
                  <c:v>14</c:v>
                </c:pt>
                <c:pt idx="2">
                  <c:v>2</c:v>
                </c:pt>
                <c:pt idx="3">
                  <c:v>4</c:v>
                </c:pt>
                <c:pt idx="4">
                  <c:v>77</c:v>
                </c:pt>
                <c:pt idx="5">
                  <c:v>209</c:v>
                </c:pt>
              </c:numCache>
            </c:numRef>
          </c:val>
          <c:extLst>
            <c:ext xmlns:c16="http://schemas.microsoft.com/office/drawing/2014/chart" uri="{C3380CC4-5D6E-409C-BE32-E72D297353CC}">
              <c16:uniqueId val="{00000000-1A9D-4876-92FF-8BE6D4B7AD19}"/>
            </c:ext>
          </c:extLst>
        </c:ser>
        <c:ser>
          <c:idx val="1"/>
          <c:order val="1"/>
          <c:tx>
            <c:strRef>
              <c:f>Лист1!$C$1</c:f>
              <c:strCache>
                <c:ptCount val="1"/>
                <c:pt idx="0">
                  <c:v>2018 год</c:v>
                </c:pt>
              </c:strCache>
            </c:strRef>
          </c:tx>
          <c:spPr>
            <a:solidFill>
              <a:srgbClr val="FF0000"/>
            </a:solidFill>
          </c:spPr>
          <c:invertIfNegative val="0"/>
          <c:cat>
            <c:strRef>
              <c:f>Лист1!$A$2:$A$7</c:f>
              <c:strCache>
                <c:ptCount val="6"/>
                <c:pt idx="0">
                  <c:v>Родители</c:v>
                </c:pt>
                <c:pt idx="1">
                  <c:v>Члены семьи</c:v>
                </c:pt>
                <c:pt idx="2">
                  <c:v>Сожители</c:v>
                </c:pt>
                <c:pt idx="3">
                  <c:v>Родственники</c:v>
                </c:pt>
                <c:pt idx="4">
                  <c:v>Знакомые</c:v>
                </c:pt>
                <c:pt idx="5">
                  <c:v>иные лица</c:v>
                </c:pt>
              </c:strCache>
            </c:strRef>
          </c:cat>
          <c:val>
            <c:numRef>
              <c:f>Лист1!$C$2:$C$7</c:f>
              <c:numCache>
                <c:formatCode>General</c:formatCode>
                <c:ptCount val="6"/>
                <c:pt idx="0">
                  <c:v>31</c:v>
                </c:pt>
                <c:pt idx="1">
                  <c:v>19</c:v>
                </c:pt>
                <c:pt idx="2">
                  <c:v>1</c:v>
                </c:pt>
                <c:pt idx="3">
                  <c:v>3</c:v>
                </c:pt>
                <c:pt idx="4">
                  <c:v>40</c:v>
                </c:pt>
                <c:pt idx="5">
                  <c:v>283</c:v>
                </c:pt>
              </c:numCache>
            </c:numRef>
          </c:val>
          <c:extLst>
            <c:ext xmlns:c16="http://schemas.microsoft.com/office/drawing/2014/chart" uri="{C3380CC4-5D6E-409C-BE32-E72D297353CC}">
              <c16:uniqueId val="{00000001-1A9D-4876-92FF-8BE6D4B7AD19}"/>
            </c:ext>
          </c:extLst>
        </c:ser>
        <c:dLbls>
          <c:showLegendKey val="0"/>
          <c:showVal val="0"/>
          <c:showCatName val="0"/>
          <c:showSerName val="0"/>
          <c:showPercent val="0"/>
          <c:showBubbleSize val="0"/>
        </c:dLbls>
        <c:gapWidth val="150"/>
        <c:axId val="140717056"/>
        <c:axId val="140739328"/>
      </c:barChart>
      <c:catAx>
        <c:axId val="14071705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0739328"/>
        <c:crosses val="autoZero"/>
        <c:auto val="1"/>
        <c:lblAlgn val="ctr"/>
        <c:lblOffset val="100"/>
        <c:noMultiLvlLbl val="0"/>
      </c:catAx>
      <c:valAx>
        <c:axId val="140739328"/>
        <c:scaling>
          <c:orientation val="minMax"/>
        </c:scaling>
        <c:delete val="0"/>
        <c:axPos val="l"/>
        <c:majorGridlines/>
        <c:numFmt formatCode="General" sourceLinked="1"/>
        <c:majorTickMark val="out"/>
        <c:minorTickMark val="none"/>
        <c:tickLblPos val="nextTo"/>
        <c:crossAx val="140717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265157-A12D-4216-98F4-8C2DBFA5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34902</Words>
  <Characters>198947</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Горст</dc:creator>
  <cp:lastModifiedBy>Перевезенцева Валерия Сергеевна</cp:lastModifiedBy>
  <cp:revision>2</cp:revision>
  <cp:lastPrinted>2019-04-25T14:59:00Z</cp:lastPrinted>
  <dcterms:created xsi:type="dcterms:W3CDTF">2021-06-24T06:20:00Z</dcterms:created>
  <dcterms:modified xsi:type="dcterms:W3CDTF">2021-06-24T06:20:00Z</dcterms:modified>
</cp:coreProperties>
</file>