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200B" w14:textId="77777777" w:rsidR="00A263AA" w:rsidRPr="001F4C3A" w:rsidRDefault="00A263AA" w:rsidP="00A263AA">
      <w:pPr>
        <w:jc w:val="center"/>
        <w:rPr>
          <w:sz w:val="28"/>
          <w:szCs w:val="28"/>
        </w:rPr>
      </w:pPr>
      <w:r w:rsidRPr="001F4C3A">
        <w:rPr>
          <w:sz w:val="28"/>
          <w:szCs w:val="28"/>
        </w:rPr>
        <w:t>Доклад о лицензировании фармацевтической деятельности за</w:t>
      </w:r>
      <w:r w:rsidRPr="001F4C3A">
        <w:rPr>
          <w:b/>
          <w:sz w:val="28"/>
          <w:szCs w:val="28"/>
        </w:rPr>
        <w:t xml:space="preserve"> 2021 </w:t>
      </w:r>
      <w:r w:rsidRPr="001F4C3A">
        <w:rPr>
          <w:sz w:val="28"/>
          <w:szCs w:val="28"/>
        </w:rPr>
        <w:t>год.</w:t>
      </w:r>
    </w:p>
    <w:p w14:paraId="28C44727" w14:textId="77777777" w:rsidR="00227134" w:rsidRPr="001C62EA" w:rsidRDefault="00227134"/>
    <w:p w14:paraId="0CEA5AC5" w14:textId="77777777" w:rsidR="00227134" w:rsidRPr="001C62EA" w:rsidRDefault="00227134"/>
    <w:p w14:paraId="15A8E281"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14:paraId="0B06256A" w14:textId="77777777" w:rsidR="00227134" w:rsidRDefault="00227134">
      <w:pPr>
        <w:rPr>
          <w:sz w:val="32"/>
          <w:szCs w:val="32"/>
        </w:rPr>
      </w:pPr>
    </w:p>
    <w:p w14:paraId="1452170F" w14:textId="77777777" w:rsidR="00A263AA" w:rsidRPr="004251CD" w:rsidRDefault="00A263AA" w:rsidP="00A263AA">
      <w:pPr>
        <w:autoSpaceDE w:val="0"/>
        <w:autoSpaceDN w:val="0"/>
        <w:adjustRightInd w:val="0"/>
        <w:ind w:firstLine="540"/>
        <w:jc w:val="center"/>
        <w:rPr>
          <w:sz w:val="22"/>
          <w:szCs w:val="22"/>
          <w:u w:val="single"/>
        </w:rPr>
      </w:pPr>
      <w:r w:rsidRPr="004251CD">
        <w:rPr>
          <w:sz w:val="22"/>
          <w:szCs w:val="22"/>
          <w:u w:val="single"/>
        </w:rPr>
        <w:t>Данные анализа нормативных правовых актов, регламентирующих деятельность лицензирующих органов и их должностных лиц по осуществлению лицензирования отдельных видов деятельности</w:t>
      </w:r>
    </w:p>
    <w:p w14:paraId="2C4B654E" w14:textId="77777777" w:rsidR="00A263AA" w:rsidRDefault="00A263AA" w:rsidP="00A263AA">
      <w:pPr>
        <w:pStyle w:val="a9"/>
        <w:ind w:firstLine="540"/>
        <w:rPr>
          <w:rFonts w:eastAsia="Calibri"/>
          <w:sz w:val="24"/>
        </w:rPr>
      </w:pPr>
      <w:r w:rsidRPr="007A4871">
        <w:rPr>
          <w:rFonts w:eastAsia="Calibri"/>
          <w:sz w:val="24"/>
        </w:rPr>
        <w:t xml:space="preserve">Процедура лицензирования </w:t>
      </w:r>
      <w:r>
        <w:rPr>
          <w:rFonts w:eastAsia="Calibri"/>
          <w:sz w:val="24"/>
        </w:rPr>
        <w:t>фармацевтической</w:t>
      </w:r>
      <w:r w:rsidRPr="007A4871">
        <w:rPr>
          <w:rFonts w:eastAsia="Calibri"/>
          <w:sz w:val="24"/>
        </w:rPr>
        <w:t xml:space="preserve"> деятельности, включая лицензионный контроль, регламентирована нормативными правовыми актами: </w:t>
      </w:r>
    </w:p>
    <w:p w14:paraId="637A266B" w14:textId="77777777" w:rsidR="00A263AA" w:rsidRDefault="00A263AA" w:rsidP="00A263AA">
      <w:pPr>
        <w:pStyle w:val="a9"/>
        <w:ind w:firstLine="540"/>
        <w:rPr>
          <w:rFonts w:eastAsia="Calibri"/>
          <w:sz w:val="24"/>
        </w:rPr>
      </w:pPr>
    </w:p>
    <w:p w14:paraId="6020C2D7" w14:textId="77777777" w:rsidR="00A263AA" w:rsidRPr="00816195" w:rsidRDefault="00A263AA" w:rsidP="00A263AA">
      <w:pPr>
        <w:pStyle w:val="ConsPlusTitle"/>
        <w:numPr>
          <w:ilvl w:val="0"/>
          <w:numId w:val="1"/>
        </w:numPr>
        <w:jc w:val="both"/>
        <w:rPr>
          <w:rFonts w:ascii="Times New Roman" w:eastAsia="Calibri" w:hAnsi="Times New Roman" w:cs="Times New Roman"/>
          <w:b w:val="0"/>
          <w:i/>
          <w:sz w:val="24"/>
          <w:szCs w:val="24"/>
        </w:rPr>
      </w:pPr>
      <w:r w:rsidRPr="00816195">
        <w:rPr>
          <w:rFonts w:ascii="Times New Roman" w:hAnsi="Times New Roman" w:cs="Times New Roman"/>
          <w:b w:val="0"/>
          <w:i/>
          <w:sz w:val="24"/>
          <w:szCs w:val="24"/>
        </w:rPr>
        <w:t>Налоговый кодекс Российской Федерации (</w:t>
      </w:r>
      <w:r w:rsidRPr="00816195">
        <w:rPr>
          <w:rFonts w:ascii="Times New Roman" w:hAnsi="Times New Roman" w:cs="Times New Roman"/>
          <w:b w:val="0"/>
          <w:i/>
          <w:sz w:val="24"/>
          <w:szCs w:val="24"/>
          <w:lang w:val="en-US"/>
        </w:rPr>
        <w:t>II</w:t>
      </w:r>
      <w:r>
        <w:rPr>
          <w:rFonts w:ascii="Times New Roman" w:hAnsi="Times New Roman" w:cs="Times New Roman"/>
          <w:b w:val="0"/>
          <w:i/>
          <w:sz w:val="24"/>
          <w:szCs w:val="24"/>
        </w:rPr>
        <w:t xml:space="preserve"> ч.).</w:t>
      </w:r>
    </w:p>
    <w:p w14:paraId="63DFA87E" w14:textId="77777777" w:rsidR="00A263AA" w:rsidRPr="0081058D" w:rsidRDefault="00A263AA" w:rsidP="00A263AA">
      <w:pPr>
        <w:pStyle w:val="ConsPlusNormal"/>
        <w:widowControl/>
        <w:numPr>
          <w:ilvl w:val="0"/>
          <w:numId w:val="1"/>
        </w:numPr>
        <w:jc w:val="both"/>
        <w:rPr>
          <w:rFonts w:ascii="Times New Roman" w:hAnsi="Times New Roman" w:cs="Times New Roman"/>
          <w:i/>
          <w:sz w:val="24"/>
          <w:szCs w:val="24"/>
        </w:rPr>
      </w:pPr>
      <w:r w:rsidRPr="0081058D">
        <w:rPr>
          <w:rFonts w:ascii="Times New Roman" w:hAnsi="Times New Roman" w:cs="Times New Roman"/>
          <w:i/>
          <w:sz w:val="24"/>
          <w:szCs w:val="24"/>
        </w:rPr>
        <w:t>Федеральный закон от 26.12.2008г</w:t>
      </w:r>
      <w:r w:rsidRPr="0081058D">
        <w:rPr>
          <w:rFonts w:ascii="Times New Roman" w:hAnsi="Times New Roman" w:cs="Times New Roman"/>
          <w:sz w:val="24"/>
          <w:szCs w:val="24"/>
        </w:rPr>
        <w:t xml:space="preserve"> </w:t>
      </w:r>
      <w:r w:rsidRPr="00C74311">
        <w:rPr>
          <w:rFonts w:ascii="Times New Roman" w:hAnsi="Times New Roman" w:cs="Times New Roman"/>
          <w:i/>
          <w:sz w:val="24"/>
          <w:szCs w:val="24"/>
        </w:rPr>
        <w:t>№</w:t>
      </w:r>
      <w:r>
        <w:rPr>
          <w:rFonts w:ascii="Times New Roman" w:hAnsi="Times New Roman" w:cs="Times New Roman"/>
          <w:sz w:val="24"/>
          <w:szCs w:val="24"/>
        </w:rPr>
        <w:t xml:space="preserve"> </w:t>
      </w:r>
      <w:r w:rsidRPr="00C74311">
        <w:rPr>
          <w:rFonts w:ascii="Times New Roman" w:hAnsi="Times New Roman" w:cs="Times New Roman"/>
          <w:i/>
          <w:sz w:val="24"/>
          <w:szCs w:val="24"/>
        </w:rPr>
        <w:t>294-ФЗ</w:t>
      </w:r>
      <w:r w:rsidRPr="0081058D">
        <w:rPr>
          <w:rFonts w:ascii="Times New Roman" w:hAnsi="Times New Roman" w:cs="Times New Roman"/>
          <w:sz w:val="24"/>
          <w:szCs w:val="24"/>
        </w:rPr>
        <w:t xml:space="preserve"> «</w:t>
      </w:r>
      <w:r w:rsidRPr="0081058D">
        <w:rPr>
          <w:rFonts w:ascii="Times New Roman" w:hAnsi="Times New Roman" w:cs="Times New Roman"/>
          <w:i/>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1058D">
        <w:rPr>
          <w:rFonts w:ascii="Times New Roman" w:hAnsi="Times New Roman" w:cs="Times New Roman"/>
          <w:sz w:val="24"/>
          <w:szCs w:val="24"/>
        </w:rPr>
        <w:t xml:space="preserve"> </w:t>
      </w:r>
      <w:r w:rsidRPr="0081058D">
        <w:rPr>
          <w:rFonts w:ascii="Times New Roman" w:hAnsi="Times New Roman" w:cs="Times New Roman"/>
          <w:i/>
          <w:sz w:val="24"/>
          <w:szCs w:val="24"/>
        </w:rPr>
        <w:t xml:space="preserve">(далее </w:t>
      </w:r>
      <w:proofErr w:type="gramStart"/>
      <w:r w:rsidRPr="0081058D">
        <w:rPr>
          <w:rFonts w:ascii="Times New Roman" w:hAnsi="Times New Roman" w:cs="Times New Roman"/>
          <w:i/>
          <w:sz w:val="24"/>
          <w:szCs w:val="24"/>
        </w:rPr>
        <w:t>-  закон</w:t>
      </w:r>
      <w:proofErr w:type="gramEnd"/>
      <w:r w:rsidRPr="0081058D">
        <w:rPr>
          <w:rFonts w:ascii="Times New Roman" w:hAnsi="Times New Roman" w:cs="Times New Roman"/>
          <w:i/>
          <w:sz w:val="24"/>
          <w:szCs w:val="24"/>
        </w:rPr>
        <w:t xml:space="preserve"> 294-ФЗ).</w:t>
      </w:r>
    </w:p>
    <w:p w14:paraId="164FC351" w14:textId="77777777" w:rsidR="00A263AA" w:rsidRPr="0081058D" w:rsidRDefault="00A263AA" w:rsidP="00A263AA">
      <w:pPr>
        <w:pStyle w:val="ConsPlusNormal"/>
        <w:widowControl/>
        <w:numPr>
          <w:ilvl w:val="0"/>
          <w:numId w:val="1"/>
        </w:numPr>
        <w:jc w:val="both"/>
        <w:rPr>
          <w:rFonts w:ascii="Times New Roman" w:hAnsi="Times New Roman" w:cs="Times New Roman"/>
          <w:i/>
          <w:sz w:val="24"/>
          <w:szCs w:val="24"/>
        </w:rPr>
      </w:pPr>
      <w:r w:rsidRPr="0081058D">
        <w:rPr>
          <w:rFonts w:ascii="Times New Roman" w:hAnsi="Times New Roman" w:cs="Times New Roman"/>
          <w:i/>
          <w:sz w:val="24"/>
          <w:szCs w:val="24"/>
        </w:rPr>
        <w:t>Федеральный закон от 04.05.2011г №</w:t>
      </w:r>
      <w:r>
        <w:rPr>
          <w:rFonts w:ascii="Times New Roman" w:hAnsi="Times New Roman" w:cs="Times New Roman"/>
          <w:i/>
          <w:sz w:val="24"/>
          <w:szCs w:val="24"/>
        </w:rPr>
        <w:t xml:space="preserve"> </w:t>
      </w:r>
      <w:r w:rsidRPr="0081058D">
        <w:rPr>
          <w:rFonts w:ascii="Times New Roman" w:hAnsi="Times New Roman" w:cs="Times New Roman"/>
          <w:i/>
          <w:sz w:val="24"/>
          <w:szCs w:val="24"/>
        </w:rPr>
        <w:t>99-ФЗ «О лицензировании отдельных видов деятельности» (далее – закон 99ФЗ).</w:t>
      </w:r>
    </w:p>
    <w:p w14:paraId="0D04B03A" w14:textId="77777777" w:rsidR="00A263AA" w:rsidRPr="0081058D" w:rsidRDefault="00A263AA" w:rsidP="00A263AA">
      <w:pPr>
        <w:pStyle w:val="ConsPlusNormal"/>
        <w:widowControl/>
        <w:numPr>
          <w:ilvl w:val="0"/>
          <w:numId w:val="1"/>
        </w:numPr>
        <w:jc w:val="both"/>
        <w:rPr>
          <w:rFonts w:ascii="Times New Roman" w:hAnsi="Times New Roman" w:cs="Times New Roman"/>
          <w:i/>
          <w:sz w:val="24"/>
          <w:szCs w:val="24"/>
        </w:rPr>
      </w:pPr>
      <w:r w:rsidRPr="0081058D">
        <w:rPr>
          <w:rFonts w:ascii="Times New Roman" w:hAnsi="Times New Roman" w:cs="Times New Roman"/>
          <w:i/>
          <w:sz w:val="24"/>
          <w:szCs w:val="24"/>
        </w:rPr>
        <w:t>Федеральный закон от 21.11.2011 № 323-ФЗ «Об основах охраны здоровья граждан в Российской Федерации» (далее - закон 323-ФЗ).</w:t>
      </w:r>
    </w:p>
    <w:p w14:paraId="07E96496" w14:textId="77777777" w:rsidR="00A263AA" w:rsidRDefault="00A263AA" w:rsidP="00A263AA">
      <w:pPr>
        <w:pStyle w:val="ConsPlusNormal"/>
        <w:widowControl/>
        <w:numPr>
          <w:ilvl w:val="0"/>
          <w:numId w:val="1"/>
        </w:numPr>
        <w:jc w:val="both"/>
        <w:rPr>
          <w:rFonts w:ascii="Times New Roman" w:hAnsi="Times New Roman" w:cs="Times New Roman"/>
          <w:i/>
          <w:sz w:val="24"/>
          <w:szCs w:val="24"/>
        </w:rPr>
      </w:pPr>
      <w:r w:rsidRPr="0081058D">
        <w:rPr>
          <w:rFonts w:ascii="Times New Roman" w:hAnsi="Times New Roman" w:cs="Times New Roman"/>
          <w:i/>
          <w:sz w:val="24"/>
          <w:szCs w:val="24"/>
        </w:rPr>
        <w:t>Федеральный закон от 12.04.2010 №</w:t>
      </w:r>
      <w:r>
        <w:rPr>
          <w:rFonts w:ascii="Times New Roman" w:hAnsi="Times New Roman" w:cs="Times New Roman"/>
          <w:i/>
          <w:sz w:val="24"/>
          <w:szCs w:val="24"/>
        </w:rPr>
        <w:t xml:space="preserve"> </w:t>
      </w:r>
      <w:r w:rsidRPr="0081058D">
        <w:rPr>
          <w:rFonts w:ascii="Times New Roman" w:hAnsi="Times New Roman" w:cs="Times New Roman"/>
          <w:i/>
          <w:sz w:val="24"/>
          <w:szCs w:val="24"/>
        </w:rPr>
        <w:t>61-ФЗ</w:t>
      </w:r>
      <w:r w:rsidRPr="0081058D">
        <w:rPr>
          <w:rFonts w:ascii="Times New Roman" w:hAnsi="Times New Roman" w:cs="Times New Roman"/>
          <w:sz w:val="24"/>
          <w:szCs w:val="24"/>
        </w:rPr>
        <w:t xml:space="preserve"> «</w:t>
      </w:r>
      <w:r w:rsidRPr="0081058D">
        <w:rPr>
          <w:rFonts w:ascii="Times New Roman" w:hAnsi="Times New Roman" w:cs="Times New Roman"/>
          <w:i/>
          <w:sz w:val="24"/>
          <w:szCs w:val="24"/>
        </w:rPr>
        <w:t xml:space="preserve">Об обращении лекарственных средств» (далее </w:t>
      </w:r>
      <w:r w:rsidRPr="00DB73D3">
        <w:rPr>
          <w:rFonts w:ascii="Times New Roman" w:hAnsi="Times New Roman" w:cs="Times New Roman"/>
          <w:i/>
          <w:sz w:val="24"/>
          <w:szCs w:val="24"/>
        </w:rPr>
        <w:t>– закон 61-ФЗ).</w:t>
      </w:r>
    </w:p>
    <w:p w14:paraId="1FC474DC" w14:textId="77777777" w:rsidR="00A263AA" w:rsidRPr="00CE0B50" w:rsidRDefault="00A263AA" w:rsidP="00A263AA">
      <w:pPr>
        <w:pStyle w:val="ConsPlusTitle"/>
        <w:numPr>
          <w:ilvl w:val="0"/>
          <w:numId w:val="1"/>
        </w:numPr>
        <w:jc w:val="both"/>
        <w:rPr>
          <w:rFonts w:ascii="Times New Roman" w:hAnsi="Times New Roman" w:cs="Times New Roman"/>
          <w:b w:val="0"/>
          <w:bCs w:val="0"/>
          <w:i/>
          <w:sz w:val="24"/>
          <w:szCs w:val="24"/>
        </w:rPr>
      </w:pPr>
      <w:r w:rsidRPr="00CE0B50">
        <w:rPr>
          <w:rFonts w:ascii="Times New Roman" w:hAnsi="Times New Roman" w:cs="Times New Roman"/>
          <w:b w:val="0"/>
          <w:bCs w:val="0"/>
          <w:i/>
          <w:sz w:val="24"/>
          <w:szCs w:val="24"/>
        </w:rPr>
        <w:t xml:space="preserve">Федеральный закон от 27 июля </w:t>
      </w:r>
      <w:smartTag w:uri="urn:schemas-microsoft-com:office:smarttags" w:element="metricconverter">
        <w:smartTagPr>
          <w:attr w:name="ProductID" w:val="2010 г"/>
        </w:smartTagPr>
        <w:r w:rsidRPr="00CE0B50">
          <w:rPr>
            <w:rFonts w:ascii="Times New Roman" w:hAnsi="Times New Roman" w:cs="Times New Roman"/>
            <w:b w:val="0"/>
            <w:bCs w:val="0"/>
            <w:i/>
            <w:sz w:val="24"/>
            <w:szCs w:val="24"/>
          </w:rPr>
          <w:t>2010 г</w:t>
        </w:r>
      </w:smartTag>
      <w:r w:rsidRPr="00CE0B50">
        <w:rPr>
          <w:rFonts w:ascii="Times New Roman" w:hAnsi="Times New Roman" w:cs="Times New Roman"/>
          <w:b w:val="0"/>
          <w:bCs w:val="0"/>
          <w:i/>
          <w:sz w:val="24"/>
          <w:szCs w:val="24"/>
        </w:rPr>
        <w:t>. № 210-ФЗ «Об организации предо</w:t>
      </w:r>
      <w:r w:rsidRPr="00CE0B50">
        <w:rPr>
          <w:rFonts w:ascii="Times New Roman" w:hAnsi="Times New Roman" w:cs="Times New Roman"/>
          <w:b w:val="0"/>
          <w:bCs w:val="0"/>
          <w:i/>
          <w:sz w:val="24"/>
          <w:szCs w:val="24"/>
        </w:rPr>
        <w:t>с</w:t>
      </w:r>
      <w:r w:rsidRPr="00CE0B50">
        <w:rPr>
          <w:rFonts w:ascii="Times New Roman" w:hAnsi="Times New Roman" w:cs="Times New Roman"/>
          <w:b w:val="0"/>
          <w:bCs w:val="0"/>
          <w:i/>
          <w:sz w:val="24"/>
          <w:szCs w:val="24"/>
        </w:rPr>
        <w:t>тавления госуда</w:t>
      </w:r>
      <w:r>
        <w:rPr>
          <w:rFonts w:ascii="Times New Roman" w:hAnsi="Times New Roman" w:cs="Times New Roman"/>
          <w:b w:val="0"/>
          <w:bCs w:val="0"/>
          <w:i/>
          <w:sz w:val="24"/>
          <w:szCs w:val="24"/>
        </w:rPr>
        <w:t>рственных и муниципальных услуг.</w:t>
      </w:r>
    </w:p>
    <w:p w14:paraId="4EC3CF66" w14:textId="77777777" w:rsidR="00A263AA" w:rsidRPr="00DB73D3" w:rsidRDefault="00A263AA" w:rsidP="00A263AA">
      <w:pPr>
        <w:pStyle w:val="a9"/>
        <w:numPr>
          <w:ilvl w:val="0"/>
          <w:numId w:val="1"/>
        </w:numPr>
        <w:rPr>
          <w:i/>
          <w:sz w:val="24"/>
        </w:rPr>
      </w:pPr>
      <w:r w:rsidRPr="00DB73D3">
        <w:rPr>
          <w:i/>
          <w:sz w:val="24"/>
        </w:rPr>
        <w:t>Постановление Правительства Российской Федерации от 21.11.2011 № 957 «Об организации лицензирования отдельных видов деятельности».</w:t>
      </w:r>
    </w:p>
    <w:p w14:paraId="48F84DBA" w14:textId="77777777" w:rsidR="00A263AA" w:rsidRPr="00DB73D3" w:rsidRDefault="00A263AA" w:rsidP="00A263AA">
      <w:pPr>
        <w:numPr>
          <w:ilvl w:val="0"/>
          <w:numId w:val="1"/>
        </w:numPr>
        <w:autoSpaceDE w:val="0"/>
        <w:autoSpaceDN w:val="0"/>
        <w:adjustRightInd w:val="0"/>
        <w:jc w:val="both"/>
      </w:pPr>
      <w:r w:rsidRPr="00DB73D3">
        <w:rPr>
          <w:i/>
        </w:rPr>
        <w:t>Положение о лицензировании фармацевтической деятельности, утв. Постановлением Правительства РФ от 22.12.2011 №1081 (далее – постановление 1081).</w:t>
      </w:r>
    </w:p>
    <w:p w14:paraId="78CAB1F5" w14:textId="77777777" w:rsidR="00A263AA" w:rsidRPr="001F4C3A" w:rsidRDefault="00A263AA" w:rsidP="00A263AA">
      <w:pPr>
        <w:pStyle w:val="a9"/>
        <w:numPr>
          <w:ilvl w:val="0"/>
          <w:numId w:val="1"/>
        </w:numPr>
        <w:rPr>
          <w:i/>
          <w:sz w:val="24"/>
        </w:rPr>
      </w:pPr>
      <w:r w:rsidRPr="001F4C3A">
        <w:rPr>
          <w:i/>
          <w:sz w:val="24"/>
        </w:rPr>
        <w:t xml:space="preserve"> Постановление Правительства Российской Федерации от 06.10.2011 № 826 «Об утверждении типовой формы лицензии».</w:t>
      </w:r>
    </w:p>
    <w:p w14:paraId="1319F898" w14:textId="77777777" w:rsidR="00A263AA" w:rsidRDefault="00A263AA" w:rsidP="00A263AA">
      <w:pPr>
        <w:pStyle w:val="ConsPlusTitle"/>
        <w:numPr>
          <w:ilvl w:val="0"/>
          <w:numId w:val="1"/>
        </w:numPr>
        <w:jc w:val="both"/>
        <w:rPr>
          <w:rFonts w:ascii="Times New Roman" w:hAnsi="Times New Roman" w:cs="Times New Roman"/>
          <w:b w:val="0"/>
          <w:bCs w:val="0"/>
          <w:i/>
          <w:sz w:val="24"/>
          <w:szCs w:val="24"/>
        </w:rPr>
      </w:pPr>
      <w:r>
        <w:rPr>
          <w:rFonts w:ascii="Times New Roman" w:hAnsi="Times New Roman" w:cs="Times New Roman"/>
          <w:b w:val="0"/>
          <w:bCs w:val="0"/>
          <w:i/>
          <w:sz w:val="24"/>
          <w:szCs w:val="24"/>
        </w:rPr>
        <w:t>П</w:t>
      </w:r>
      <w:r w:rsidRPr="0017515A">
        <w:rPr>
          <w:rFonts w:ascii="Times New Roman" w:hAnsi="Times New Roman" w:cs="Times New Roman"/>
          <w:b w:val="0"/>
          <w:bCs w:val="0"/>
          <w:i/>
          <w:sz w:val="24"/>
          <w:szCs w:val="24"/>
        </w:rPr>
        <w:t xml:space="preserve">остановление Правительства Российской Федерации от 10 июля </w:t>
      </w:r>
      <w:smartTag w:uri="urn:schemas-microsoft-com:office:smarttags" w:element="metricconverter">
        <w:smartTagPr>
          <w:attr w:name="ProductID" w:val="2014 г"/>
        </w:smartTagPr>
        <w:r w:rsidRPr="0017515A">
          <w:rPr>
            <w:rFonts w:ascii="Times New Roman" w:hAnsi="Times New Roman" w:cs="Times New Roman"/>
            <w:b w:val="0"/>
            <w:bCs w:val="0"/>
            <w:i/>
            <w:sz w:val="24"/>
            <w:szCs w:val="24"/>
          </w:rPr>
          <w:t>2014 г</w:t>
        </w:r>
      </w:smartTag>
      <w:r w:rsidRPr="0017515A">
        <w:rPr>
          <w:rFonts w:ascii="Times New Roman" w:hAnsi="Times New Roman" w:cs="Times New Roman"/>
          <w:b w:val="0"/>
          <w:bCs w:val="0"/>
          <w:i/>
          <w:sz w:val="24"/>
          <w:szCs w:val="24"/>
        </w:rPr>
        <w:t xml:space="preserve">.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w:t>
      </w:r>
      <w:r w:rsidRPr="00BD0330">
        <w:rPr>
          <w:rFonts w:ascii="Times New Roman" w:hAnsi="Times New Roman" w:cs="Times New Roman"/>
          <w:b w:val="0"/>
          <w:bCs w:val="0"/>
          <w:i/>
          <w:sz w:val="24"/>
          <w:szCs w:val="24"/>
        </w:rPr>
        <w:t>мероприятий по контролю».</w:t>
      </w:r>
    </w:p>
    <w:p w14:paraId="6662AAF8" w14:textId="77777777" w:rsidR="00A263AA" w:rsidRPr="00BD0330" w:rsidRDefault="00A263AA" w:rsidP="00A263AA">
      <w:pPr>
        <w:pStyle w:val="ConsPlusTitle"/>
        <w:numPr>
          <w:ilvl w:val="0"/>
          <w:numId w:val="1"/>
        </w:numPr>
        <w:jc w:val="both"/>
        <w:rPr>
          <w:rFonts w:ascii="Times New Roman" w:hAnsi="Times New Roman" w:cs="Times New Roman"/>
          <w:b w:val="0"/>
          <w:bCs w:val="0"/>
          <w:i/>
          <w:sz w:val="24"/>
          <w:szCs w:val="24"/>
        </w:rPr>
      </w:pPr>
      <w:r w:rsidRPr="00E0002D">
        <w:rPr>
          <w:rFonts w:ascii="Times New Roman" w:hAnsi="Times New Roman" w:cs="Times New Roman"/>
          <w:b w:val="0"/>
          <w:bCs w:val="0"/>
          <w:i/>
          <w:sz w:val="24"/>
          <w:szCs w:val="24"/>
        </w:rPr>
        <w:t xml:space="preserve">Постановление Правительства РФ от 31.12.2020 </w:t>
      </w:r>
      <w:r>
        <w:rPr>
          <w:rFonts w:ascii="Times New Roman" w:hAnsi="Times New Roman" w:cs="Times New Roman"/>
          <w:b w:val="0"/>
          <w:bCs w:val="0"/>
          <w:i/>
          <w:sz w:val="24"/>
          <w:szCs w:val="24"/>
        </w:rPr>
        <w:t>№</w:t>
      </w:r>
      <w:r w:rsidRPr="00E0002D">
        <w:rPr>
          <w:rFonts w:ascii="Times New Roman" w:hAnsi="Times New Roman" w:cs="Times New Roman"/>
          <w:b w:val="0"/>
          <w:bCs w:val="0"/>
          <w:i/>
          <w:sz w:val="24"/>
          <w:szCs w:val="24"/>
        </w:rPr>
        <w:t xml:space="preserve">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rPr>
          <w:rFonts w:ascii="Times New Roman" w:hAnsi="Times New Roman" w:cs="Times New Roman"/>
          <w:b w:val="0"/>
          <w:bCs w:val="0"/>
          <w:i/>
          <w:sz w:val="24"/>
          <w:szCs w:val="24"/>
        </w:rPr>
        <w:t>.</w:t>
      </w:r>
    </w:p>
    <w:p w14:paraId="7245DE6E" w14:textId="77777777" w:rsidR="00A263AA" w:rsidRDefault="00A263AA" w:rsidP="00A263AA">
      <w:pPr>
        <w:numPr>
          <w:ilvl w:val="0"/>
          <w:numId w:val="1"/>
        </w:numPr>
        <w:jc w:val="both"/>
        <w:rPr>
          <w:i/>
        </w:rPr>
      </w:pPr>
      <w:r w:rsidRPr="0081058D">
        <w:rPr>
          <w:i/>
        </w:rPr>
        <w:t xml:space="preserve">Постановление Правительства РФ от 29 декабря </w:t>
      </w:r>
      <w:smartTag w:uri="urn:schemas-microsoft-com:office:smarttags" w:element="metricconverter">
        <w:smartTagPr>
          <w:attr w:name="ProductID" w:val="2007 г"/>
        </w:smartTagPr>
        <w:r w:rsidRPr="0081058D">
          <w:rPr>
            <w:i/>
          </w:rPr>
          <w:t>2007 г</w:t>
        </w:r>
      </w:smartTag>
      <w:r w:rsidRPr="0081058D">
        <w:rPr>
          <w:i/>
        </w:rPr>
        <w:t xml:space="preserve">. </w:t>
      </w:r>
      <w:r>
        <w:rPr>
          <w:i/>
        </w:rPr>
        <w:t>№</w:t>
      </w:r>
      <w:r w:rsidRPr="0081058D">
        <w:rPr>
          <w:i/>
        </w:rPr>
        <w:t xml:space="preserve"> </w:t>
      </w:r>
      <w:r w:rsidRPr="005C7690">
        <w:rPr>
          <w:i/>
        </w:rPr>
        <w:t xml:space="preserve">964 </w:t>
      </w:r>
      <w:r w:rsidRPr="0081058D">
        <w:rPr>
          <w:i/>
        </w:rPr>
        <w:t>"Об утверждении списков сильнодействующих</w:t>
      </w:r>
      <w:r>
        <w:rPr>
          <w:i/>
        </w:rPr>
        <w:t xml:space="preserve"> и ядовитых веществ для целей</w:t>
      </w:r>
      <w:r w:rsidRPr="0081058D">
        <w:rPr>
          <w:i/>
        </w:rPr>
        <w:t xml:space="preserve">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r>
        <w:rPr>
          <w:i/>
        </w:rPr>
        <w:t>.</w:t>
      </w:r>
    </w:p>
    <w:p w14:paraId="7D732934" w14:textId="77777777" w:rsidR="00A263AA" w:rsidRDefault="00A263AA" w:rsidP="00A263AA">
      <w:pPr>
        <w:numPr>
          <w:ilvl w:val="0"/>
          <w:numId w:val="1"/>
        </w:numPr>
        <w:jc w:val="both"/>
        <w:rPr>
          <w:i/>
        </w:rPr>
      </w:pPr>
      <w:r w:rsidRPr="00001439">
        <w:rPr>
          <w:i/>
        </w:rPr>
        <w:t xml:space="preserve">Постановление Правительства РФ от 29.10.2010г № </w:t>
      </w:r>
      <w:r w:rsidRPr="005C7690">
        <w:rPr>
          <w:i/>
        </w:rPr>
        <w:t>865</w:t>
      </w:r>
      <w:r w:rsidRPr="00001439">
        <w:rPr>
          <w:i/>
        </w:rPr>
        <w:t xml:space="preserve"> «О государственном регулировании цен на лекарственные препараты, включенные в перечень ЖНВЛП»</w:t>
      </w:r>
      <w:r>
        <w:rPr>
          <w:i/>
        </w:rPr>
        <w:t>.</w:t>
      </w:r>
    </w:p>
    <w:p w14:paraId="4600AAD9" w14:textId="77777777" w:rsidR="00A263AA" w:rsidRDefault="00A263AA" w:rsidP="00A263AA">
      <w:pPr>
        <w:numPr>
          <w:ilvl w:val="0"/>
          <w:numId w:val="1"/>
        </w:numPr>
        <w:jc w:val="both"/>
        <w:rPr>
          <w:i/>
        </w:rPr>
      </w:pPr>
      <w:r w:rsidRPr="0081058D">
        <w:rPr>
          <w:i/>
        </w:rPr>
        <w:t xml:space="preserve">Постановление Правительства РФ от 08.08.2009г № </w:t>
      </w:r>
      <w:r w:rsidRPr="005C7690">
        <w:rPr>
          <w:i/>
        </w:rPr>
        <w:t>654</w:t>
      </w:r>
      <w:r w:rsidRPr="0081058D">
        <w:rPr>
          <w:i/>
        </w:rPr>
        <w:t xml:space="preserve"> «О 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w:t>
      </w:r>
      <w:r>
        <w:rPr>
          <w:i/>
        </w:rPr>
        <w:t>.</w:t>
      </w:r>
    </w:p>
    <w:p w14:paraId="22A72385" w14:textId="77777777" w:rsidR="00A263AA" w:rsidRPr="00226003" w:rsidRDefault="00A263AA" w:rsidP="00A263AA">
      <w:pPr>
        <w:numPr>
          <w:ilvl w:val="0"/>
          <w:numId w:val="1"/>
        </w:numPr>
        <w:autoSpaceDE w:val="0"/>
        <w:autoSpaceDN w:val="0"/>
        <w:adjustRightInd w:val="0"/>
        <w:jc w:val="both"/>
        <w:rPr>
          <w:i/>
        </w:rPr>
      </w:pPr>
      <w:r w:rsidRPr="00226003">
        <w:rPr>
          <w:i/>
        </w:rPr>
        <w:lastRenderedPageBreak/>
        <w:t xml:space="preserve">Распоряжение Правительства РФ от </w:t>
      </w:r>
      <w:r>
        <w:rPr>
          <w:i/>
        </w:rPr>
        <w:t>12</w:t>
      </w:r>
      <w:r w:rsidRPr="00226003">
        <w:rPr>
          <w:i/>
        </w:rPr>
        <w:t>.10.201</w:t>
      </w:r>
      <w:r>
        <w:rPr>
          <w:i/>
        </w:rPr>
        <w:t>9</w:t>
      </w:r>
      <w:r w:rsidRPr="00226003">
        <w:rPr>
          <w:i/>
        </w:rPr>
        <w:t xml:space="preserve"> </w:t>
      </w:r>
      <w:r>
        <w:rPr>
          <w:i/>
        </w:rPr>
        <w:t>№</w:t>
      </w:r>
      <w:r w:rsidRPr="00226003">
        <w:rPr>
          <w:i/>
        </w:rPr>
        <w:t xml:space="preserve"> 2</w:t>
      </w:r>
      <w:r>
        <w:rPr>
          <w:i/>
        </w:rPr>
        <w:t>406</w:t>
      </w:r>
      <w:r w:rsidRPr="00226003">
        <w:rPr>
          <w:i/>
        </w:rPr>
        <w:t>-р</w:t>
      </w:r>
      <w:r>
        <w:rPr>
          <w:i/>
        </w:rPr>
        <w:t xml:space="preserve"> (ред. от 23.11.2020)</w:t>
      </w:r>
      <w:r w:rsidRPr="00226003">
        <w:rPr>
          <w:i/>
        </w:rPr>
        <w:t xml:space="preserve">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14:paraId="010A733F" w14:textId="77777777" w:rsidR="00A263AA" w:rsidRPr="00691ED9" w:rsidRDefault="00A263AA" w:rsidP="00A263AA">
      <w:pPr>
        <w:pStyle w:val="ConsPlusTitle"/>
        <w:numPr>
          <w:ilvl w:val="0"/>
          <w:numId w:val="1"/>
        </w:numPr>
        <w:jc w:val="both"/>
        <w:rPr>
          <w:rFonts w:ascii="Times New Roman" w:hAnsi="Times New Roman" w:cs="Times New Roman"/>
          <w:b w:val="0"/>
          <w:i/>
          <w:iCs/>
          <w:sz w:val="24"/>
          <w:szCs w:val="24"/>
        </w:rPr>
      </w:pPr>
      <w:r>
        <w:rPr>
          <w:rFonts w:ascii="Times New Roman" w:hAnsi="Times New Roman" w:cs="Times New Roman"/>
          <w:b w:val="0"/>
          <w:i/>
          <w:sz w:val="24"/>
          <w:szCs w:val="24"/>
        </w:rPr>
        <w:t>П</w:t>
      </w:r>
      <w:r w:rsidRPr="00630D7A">
        <w:rPr>
          <w:rFonts w:ascii="Times New Roman" w:hAnsi="Times New Roman" w:cs="Times New Roman"/>
          <w:b w:val="0"/>
          <w:i/>
          <w:sz w:val="24"/>
          <w:szCs w:val="24"/>
        </w:rPr>
        <w:t xml:space="preserve">риказ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630D7A">
          <w:rPr>
            <w:rFonts w:ascii="Times New Roman" w:hAnsi="Times New Roman" w:cs="Times New Roman"/>
            <w:b w:val="0"/>
            <w:i/>
            <w:sz w:val="24"/>
            <w:szCs w:val="24"/>
          </w:rPr>
          <w:t>2009 г</w:t>
        </w:r>
      </w:smartTag>
      <w:r w:rsidRPr="00630D7A">
        <w:rPr>
          <w:rFonts w:ascii="Times New Roman" w:hAnsi="Times New Roman" w:cs="Times New Roman"/>
          <w:b w:val="0"/>
          <w:i/>
          <w:sz w:val="24"/>
          <w:szCs w:val="24"/>
        </w:rPr>
        <w:t>. № 141 «О реализации положений Федерального закона «О защите прав юридических лиц и индивидуальных предпринимателей при ос</w:t>
      </w:r>
      <w:r w:rsidRPr="00630D7A">
        <w:rPr>
          <w:rFonts w:ascii="Times New Roman" w:hAnsi="Times New Roman" w:cs="Times New Roman"/>
          <w:b w:val="0"/>
          <w:i/>
          <w:sz w:val="24"/>
          <w:szCs w:val="24"/>
        </w:rPr>
        <w:t>у</w:t>
      </w:r>
      <w:r w:rsidRPr="00630D7A">
        <w:rPr>
          <w:rFonts w:ascii="Times New Roman" w:hAnsi="Times New Roman" w:cs="Times New Roman"/>
          <w:b w:val="0"/>
          <w:i/>
          <w:sz w:val="24"/>
          <w:szCs w:val="24"/>
        </w:rPr>
        <w:t>ществлении государственного контроля (надзора) и муниципального контроля».</w:t>
      </w:r>
    </w:p>
    <w:p w14:paraId="08F3E7C5" w14:textId="77777777" w:rsidR="00A263AA" w:rsidRDefault="00A263AA" w:rsidP="00A263AA">
      <w:pPr>
        <w:numPr>
          <w:ilvl w:val="0"/>
          <w:numId w:val="1"/>
        </w:numPr>
        <w:autoSpaceDE w:val="0"/>
        <w:autoSpaceDN w:val="0"/>
        <w:adjustRightInd w:val="0"/>
        <w:jc w:val="both"/>
        <w:rPr>
          <w:i/>
          <w:iCs/>
        </w:rPr>
      </w:pPr>
      <w:r>
        <w:rPr>
          <w:i/>
          <w:iCs/>
        </w:rPr>
        <w:t>Приказ Министерства тарифного регулирования Калужской обл. от 14.12.2015 № 530-РК "Об установлении предельных размеров оптовых надбавок и предельных размеров розничных надбавок к фактическим отпускным ценам производителей,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100F26AB" w14:textId="77777777" w:rsidR="00A263AA" w:rsidRPr="00E97016" w:rsidRDefault="00A263AA" w:rsidP="00A263AA">
      <w:pPr>
        <w:widowControl w:val="0"/>
        <w:numPr>
          <w:ilvl w:val="0"/>
          <w:numId w:val="1"/>
        </w:numPr>
        <w:autoSpaceDE w:val="0"/>
        <w:autoSpaceDN w:val="0"/>
        <w:adjustRightInd w:val="0"/>
        <w:jc w:val="both"/>
        <w:rPr>
          <w:i/>
          <w:iCs/>
        </w:rPr>
      </w:pPr>
      <w:r w:rsidRPr="00E97016">
        <w:rPr>
          <w:i/>
          <w:iCs/>
        </w:rPr>
        <w:t xml:space="preserve">  Приказ Министерства конкурентной политики Калужской области от 13.01.2020 № 5-РК «О внесении изменений в приказ министерства тарифного регулирования калужской области 14.12.2015 № 530-РК "Об установлении предельных размеров оптовых надбавок и предельных размеров розничных надбавок к фактическим отпускным ценам производителей,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304B32A5" w14:textId="77777777" w:rsidR="00A263AA" w:rsidRPr="001E6C40" w:rsidRDefault="00A263AA" w:rsidP="00A263AA">
      <w:pPr>
        <w:pStyle w:val="ConsPlusTitle"/>
        <w:numPr>
          <w:ilvl w:val="0"/>
          <w:numId w:val="1"/>
        </w:numPr>
        <w:jc w:val="both"/>
        <w:rPr>
          <w:rFonts w:ascii="Times New Roman" w:hAnsi="Times New Roman" w:cs="Times New Roman"/>
          <w:b w:val="0"/>
          <w:bCs w:val="0"/>
          <w:i/>
          <w:sz w:val="24"/>
          <w:szCs w:val="24"/>
        </w:rPr>
      </w:pPr>
      <w:r>
        <w:rPr>
          <w:rFonts w:ascii="Times New Roman" w:hAnsi="Times New Roman" w:cs="Times New Roman"/>
          <w:b w:val="0"/>
          <w:bCs w:val="0"/>
          <w:i/>
          <w:sz w:val="24"/>
          <w:szCs w:val="24"/>
        </w:rPr>
        <w:t>П</w:t>
      </w:r>
      <w:r w:rsidRPr="001E6C40">
        <w:rPr>
          <w:rFonts w:ascii="Times New Roman" w:hAnsi="Times New Roman" w:cs="Times New Roman"/>
          <w:b w:val="0"/>
          <w:bCs w:val="0"/>
          <w:i/>
          <w:sz w:val="24"/>
          <w:szCs w:val="24"/>
        </w:rPr>
        <w:t xml:space="preserve">риказ Министерства здравоохранения Российской Федерации от 31 августа </w:t>
      </w:r>
      <w:smartTag w:uri="urn:schemas-microsoft-com:office:smarttags" w:element="metricconverter">
        <w:smartTagPr>
          <w:attr w:name="ProductID" w:val="2016 г"/>
        </w:smartTagPr>
        <w:r w:rsidRPr="001E6C40">
          <w:rPr>
            <w:rFonts w:ascii="Times New Roman" w:hAnsi="Times New Roman" w:cs="Times New Roman"/>
            <w:b w:val="0"/>
            <w:bCs w:val="0"/>
            <w:i/>
            <w:sz w:val="24"/>
            <w:szCs w:val="24"/>
          </w:rPr>
          <w:t>2016 г</w:t>
        </w:r>
      </w:smartTag>
      <w:r w:rsidRPr="001E6C40">
        <w:rPr>
          <w:rFonts w:ascii="Times New Roman" w:hAnsi="Times New Roman" w:cs="Times New Roman"/>
          <w:b w:val="0"/>
          <w:bCs w:val="0"/>
          <w:i/>
          <w:sz w:val="24"/>
          <w:szCs w:val="24"/>
        </w:rPr>
        <w:t xml:space="preserve">. </w:t>
      </w:r>
      <w:r>
        <w:rPr>
          <w:rFonts w:ascii="Times New Roman" w:hAnsi="Times New Roman" w:cs="Times New Roman"/>
          <w:b w:val="0"/>
          <w:bCs w:val="0"/>
          <w:i/>
          <w:sz w:val="24"/>
          <w:szCs w:val="24"/>
        </w:rPr>
        <w:t xml:space="preserve">         </w:t>
      </w:r>
      <w:r w:rsidRPr="001E6C40">
        <w:rPr>
          <w:rFonts w:ascii="Times New Roman" w:hAnsi="Times New Roman" w:cs="Times New Roman"/>
          <w:b w:val="0"/>
          <w:bCs w:val="0"/>
          <w:i/>
          <w:sz w:val="24"/>
          <w:szCs w:val="24"/>
        </w:rPr>
        <w:t>№ 647н «Об утверждении Правил надлежащей аптечной практики лекарс</w:t>
      </w:r>
      <w:r w:rsidRPr="001E6C40">
        <w:rPr>
          <w:rFonts w:ascii="Times New Roman" w:hAnsi="Times New Roman" w:cs="Times New Roman"/>
          <w:b w:val="0"/>
          <w:bCs w:val="0"/>
          <w:i/>
          <w:sz w:val="24"/>
          <w:szCs w:val="24"/>
        </w:rPr>
        <w:t>т</w:t>
      </w:r>
      <w:r w:rsidRPr="001E6C40">
        <w:rPr>
          <w:rFonts w:ascii="Times New Roman" w:hAnsi="Times New Roman" w:cs="Times New Roman"/>
          <w:b w:val="0"/>
          <w:bCs w:val="0"/>
          <w:i/>
          <w:sz w:val="24"/>
          <w:szCs w:val="24"/>
        </w:rPr>
        <w:t>венных препаратов для медицинского применения».</w:t>
      </w:r>
    </w:p>
    <w:p w14:paraId="4FE2AED5" w14:textId="77777777" w:rsidR="00A263AA" w:rsidRPr="001E6C40" w:rsidRDefault="00A263AA" w:rsidP="00A263AA">
      <w:pPr>
        <w:numPr>
          <w:ilvl w:val="0"/>
          <w:numId w:val="1"/>
        </w:numPr>
        <w:autoSpaceDE w:val="0"/>
        <w:autoSpaceDN w:val="0"/>
        <w:adjustRightInd w:val="0"/>
        <w:jc w:val="both"/>
        <w:rPr>
          <w:i/>
        </w:rPr>
      </w:pPr>
      <w:r w:rsidRPr="001E6C40">
        <w:rPr>
          <w:i/>
        </w:rPr>
        <w:t xml:space="preserve">Приказ Минздрава России от 31.08.2016 </w:t>
      </w:r>
      <w:r>
        <w:rPr>
          <w:i/>
        </w:rPr>
        <w:t>№</w:t>
      </w:r>
      <w:r w:rsidRPr="001E6C40">
        <w:rPr>
          <w:i/>
        </w:rPr>
        <w:t xml:space="preserve"> 646н "Об утверждении Правил надлежащей практики хранения и перевозки лекарственных препаратов для медицинского применения".</w:t>
      </w:r>
    </w:p>
    <w:p w14:paraId="4659FD21" w14:textId="77777777" w:rsidR="00A263AA" w:rsidRPr="00226003" w:rsidRDefault="00A263AA" w:rsidP="00A263AA">
      <w:pPr>
        <w:numPr>
          <w:ilvl w:val="0"/>
          <w:numId w:val="1"/>
        </w:numPr>
        <w:autoSpaceDE w:val="0"/>
        <w:autoSpaceDN w:val="0"/>
        <w:adjustRightInd w:val="0"/>
        <w:jc w:val="both"/>
        <w:rPr>
          <w:i/>
          <w:iCs/>
        </w:rPr>
      </w:pPr>
      <w:r w:rsidRPr="00226003">
        <w:rPr>
          <w:i/>
          <w:iCs/>
        </w:rPr>
        <w:t xml:space="preserve">Приказ Минздрава России от 31.10.2017 </w:t>
      </w:r>
      <w:r>
        <w:rPr>
          <w:i/>
          <w:iCs/>
        </w:rPr>
        <w:t>№</w:t>
      </w:r>
      <w:r w:rsidRPr="00226003">
        <w:rPr>
          <w:i/>
          <w:iCs/>
        </w:rPr>
        <w:t xml:space="preserve"> 882н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w:t>
      </w:r>
    </w:p>
    <w:p w14:paraId="0550B1C2" w14:textId="77777777" w:rsidR="00A263AA" w:rsidRPr="00810322" w:rsidRDefault="00A263AA" w:rsidP="00A263AA">
      <w:pPr>
        <w:numPr>
          <w:ilvl w:val="0"/>
          <w:numId w:val="1"/>
        </w:numPr>
        <w:jc w:val="both"/>
        <w:rPr>
          <w:i/>
        </w:rPr>
      </w:pPr>
      <w:r w:rsidRPr="009823C6">
        <w:rPr>
          <w:i/>
          <w:color w:val="000000"/>
        </w:rPr>
        <w:t xml:space="preserve">Приказ Минздрава России от 22.04.2014 </w:t>
      </w:r>
      <w:r>
        <w:rPr>
          <w:i/>
          <w:color w:val="000000"/>
        </w:rPr>
        <w:t>№</w:t>
      </w:r>
      <w:r w:rsidRPr="009823C6">
        <w:rPr>
          <w:i/>
          <w:color w:val="000000"/>
        </w:rPr>
        <w:t xml:space="preserve"> 183н "Об утверждении перечня лекарственных средств для медицинского применения, подлежащих предметно-количественному учету"</w:t>
      </w:r>
      <w:r>
        <w:rPr>
          <w:i/>
          <w:color w:val="000000"/>
        </w:rPr>
        <w:t>.</w:t>
      </w:r>
    </w:p>
    <w:p w14:paraId="03C01FFE" w14:textId="77777777" w:rsidR="00A263AA" w:rsidRPr="00CF06A3" w:rsidRDefault="00A263AA" w:rsidP="00A263AA">
      <w:pPr>
        <w:numPr>
          <w:ilvl w:val="0"/>
          <w:numId w:val="1"/>
        </w:numPr>
        <w:jc w:val="both"/>
        <w:rPr>
          <w:i/>
        </w:rPr>
      </w:pPr>
      <w:r w:rsidRPr="00810322">
        <w:rPr>
          <w:i/>
        </w:rPr>
        <w:t xml:space="preserve">Постановление Правительства РФ от 13.06.2020 </w:t>
      </w:r>
      <w:r>
        <w:rPr>
          <w:i/>
        </w:rPr>
        <w:t>№</w:t>
      </w:r>
      <w:r w:rsidRPr="00810322">
        <w:rPr>
          <w:i/>
        </w:rPr>
        <w:t xml:space="preserve"> 855 "О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сфере обращения лекарственных средств для медицинского применения (за исключением производства лекарственных средств для медицинского применения)"</w:t>
      </w:r>
    </w:p>
    <w:p w14:paraId="7C9815CE" w14:textId="77777777" w:rsidR="00A263AA" w:rsidRPr="0081058D" w:rsidRDefault="00A263AA" w:rsidP="00A263AA">
      <w:pPr>
        <w:numPr>
          <w:ilvl w:val="0"/>
          <w:numId w:val="1"/>
        </w:numPr>
        <w:jc w:val="both"/>
        <w:rPr>
          <w:bCs/>
          <w:i/>
          <w:color w:val="000000"/>
        </w:rPr>
      </w:pPr>
      <w:r w:rsidRPr="0081058D">
        <w:rPr>
          <w:bCs/>
          <w:i/>
          <w:color w:val="000000"/>
        </w:rPr>
        <w:t xml:space="preserve">Приказ МЗ РФ от 13 ноября </w:t>
      </w:r>
      <w:smartTag w:uri="urn:schemas-microsoft-com:office:smarttags" w:element="metricconverter">
        <w:smartTagPr>
          <w:attr w:name="ProductID" w:val="1996 г"/>
        </w:smartTagPr>
        <w:r w:rsidRPr="0081058D">
          <w:rPr>
            <w:bCs/>
            <w:i/>
            <w:color w:val="000000"/>
          </w:rPr>
          <w:t>1996 г</w:t>
        </w:r>
      </w:smartTag>
      <w:r w:rsidRPr="0081058D">
        <w:rPr>
          <w:bCs/>
          <w:i/>
          <w:color w:val="000000"/>
        </w:rPr>
        <w:t xml:space="preserve">. </w:t>
      </w:r>
      <w:r>
        <w:rPr>
          <w:i/>
          <w:color w:val="000000"/>
        </w:rPr>
        <w:t>№</w:t>
      </w:r>
      <w:r w:rsidRPr="009823C6">
        <w:rPr>
          <w:i/>
          <w:color w:val="000000"/>
        </w:rPr>
        <w:t xml:space="preserve"> </w:t>
      </w:r>
      <w:r w:rsidRPr="005C7690">
        <w:rPr>
          <w:bCs/>
          <w:i/>
          <w:color w:val="000000"/>
        </w:rPr>
        <w:t>377</w:t>
      </w:r>
      <w:r>
        <w:rPr>
          <w:rFonts w:ascii="Arial" w:hAnsi="Arial" w:cs="Arial"/>
          <w:bCs/>
          <w:i/>
          <w:color w:val="000000"/>
        </w:rPr>
        <w:t xml:space="preserve"> </w:t>
      </w:r>
      <w:r w:rsidRPr="0081058D">
        <w:rPr>
          <w:rFonts w:ascii="Arial" w:hAnsi="Arial" w:cs="Arial"/>
          <w:bCs/>
          <w:i/>
          <w:color w:val="000000"/>
        </w:rPr>
        <w:t>«</w:t>
      </w:r>
      <w:r w:rsidRPr="0081058D">
        <w:rPr>
          <w:bCs/>
          <w:i/>
          <w:color w:val="000000"/>
        </w:rPr>
        <w:t>Об утверждении инструкции по организации хранения в аптечных учреждениях различных групп лекарственных средств и изделий медицинского назначения»</w:t>
      </w:r>
      <w:r>
        <w:rPr>
          <w:bCs/>
          <w:i/>
          <w:color w:val="000000"/>
        </w:rPr>
        <w:t>.</w:t>
      </w:r>
    </w:p>
    <w:p w14:paraId="71898B6D" w14:textId="77777777" w:rsidR="00A263AA" w:rsidRPr="0081058D" w:rsidRDefault="00A263AA" w:rsidP="00A263AA">
      <w:pPr>
        <w:numPr>
          <w:ilvl w:val="0"/>
          <w:numId w:val="1"/>
        </w:numPr>
        <w:jc w:val="both"/>
        <w:rPr>
          <w:bCs/>
          <w:i/>
          <w:color w:val="000000"/>
          <w:spacing w:val="-6"/>
        </w:rPr>
      </w:pPr>
      <w:r w:rsidRPr="0081058D">
        <w:rPr>
          <w:bCs/>
          <w:i/>
          <w:color w:val="000000"/>
          <w:spacing w:val="-6"/>
        </w:rPr>
        <w:t xml:space="preserve">Приказ МЗ СР от 23.08.2010 № </w:t>
      </w:r>
      <w:r w:rsidRPr="005C7690">
        <w:rPr>
          <w:bCs/>
          <w:i/>
          <w:color w:val="000000"/>
          <w:spacing w:val="-6"/>
        </w:rPr>
        <w:t>706н</w:t>
      </w:r>
      <w:r w:rsidRPr="0081058D">
        <w:rPr>
          <w:bCs/>
          <w:i/>
          <w:color w:val="000000"/>
          <w:spacing w:val="-6"/>
        </w:rPr>
        <w:t xml:space="preserve"> «Об утверждении правил хранения лекарственных средств»</w:t>
      </w:r>
      <w:r>
        <w:rPr>
          <w:bCs/>
          <w:i/>
          <w:color w:val="000000"/>
          <w:spacing w:val="-6"/>
        </w:rPr>
        <w:t>.</w:t>
      </w:r>
    </w:p>
    <w:p w14:paraId="44B6BDB9" w14:textId="77777777" w:rsidR="00A263AA" w:rsidRPr="00D06E62" w:rsidRDefault="00A263AA" w:rsidP="00A263AA">
      <w:pPr>
        <w:numPr>
          <w:ilvl w:val="0"/>
          <w:numId w:val="1"/>
        </w:numPr>
        <w:autoSpaceDE w:val="0"/>
        <w:autoSpaceDN w:val="0"/>
        <w:adjustRightInd w:val="0"/>
        <w:jc w:val="both"/>
        <w:rPr>
          <w:bCs/>
          <w:i/>
        </w:rPr>
      </w:pPr>
      <w:r w:rsidRPr="00D06E62">
        <w:rPr>
          <w:i/>
        </w:rPr>
        <w:t xml:space="preserve">Приказ Минздрава России от 11.07.2017 </w:t>
      </w:r>
      <w:r>
        <w:rPr>
          <w:i/>
          <w:color w:val="000000"/>
        </w:rPr>
        <w:t>№</w:t>
      </w:r>
      <w:r w:rsidRPr="009823C6">
        <w:rPr>
          <w:i/>
          <w:color w:val="000000"/>
        </w:rPr>
        <w:t xml:space="preserve"> </w:t>
      </w:r>
      <w:r w:rsidRPr="00D06E62">
        <w:rPr>
          <w:i/>
        </w:rPr>
        <w:t>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14:paraId="3199360E" w14:textId="77777777" w:rsidR="00A263AA" w:rsidRPr="00226003" w:rsidRDefault="00A263AA" w:rsidP="00A263AA">
      <w:pPr>
        <w:numPr>
          <w:ilvl w:val="0"/>
          <w:numId w:val="1"/>
        </w:numPr>
        <w:jc w:val="both"/>
        <w:rPr>
          <w:i/>
        </w:rPr>
      </w:pPr>
      <w:r w:rsidRPr="0081058D">
        <w:rPr>
          <w:i/>
        </w:rPr>
        <w:lastRenderedPageBreak/>
        <w:t xml:space="preserve">Приказ Министерства здравоохранения РФ от 17 июня </w:t>
      </w:r>
      <w:smartTag w:uri="urn:schemas-microsoft-com:office:smarttags" w:element="metricconverter">
        <w:smartTagPr>
          <w:attr w:name="ProductID" w:val="2013 г"/>
        </w:smartTagPr>
        <w:r w:rsidRPr="0081058D">
          <w:rPr>
            <w:i/>
          </w:rPr>
          <w:t>2013 г</w:t>
        </w:r>
      </w:smartTag>
      <w:r w:rsidRPr="0081058D">
        <w:rPr>
          <w:i/>
        </w:rPr>
        <w:t xml:space="preserve">. № </w:t>
      </w:r>
      <w:r w:rsidRPr="005C7690">
        <w:rPr>
          <w:i/>
        </w:rPr>
        <w:t>378н</w:t>
      </w:r>
      <w:r w:rsidRPr="0081058D">
        <w:rPr>
          <w:i/>
        </w:rPr>
        <w:t xml:space="preserve">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w:t>
      </w:r>
      <w:r w:rsidRPr="00226003">
        <w:rPr>
          <w:i/>
        </w:rPr>
        <w:t>операций, связанных с обращением лекарственных средств для медицинского применения».</w:t>
      </w:r>
    </w:p>
    <w:p w14:paraId="5DBB7460" w14:textId="77777777" w:rsidR="00A263AA" w:rsidRPr="0081058D" w:rsidRDefault="00A263AA" w:rsidP="00A263AA">
      <w:pPr>
        <w:numPr>
          <w:ilvl w:val="0"/>
          <w:numId w:val="1"/>
        </w:numPr>
        <w:jc w:val="both"/>
        <w:rPr>
          <w:i/>
        </w:rPr>
      </w:pPr>
      <w:r w:rsidRPr="0081058D">
        <w:rPr>
          <w:i/>
        </w:rPr>
        <w:t xml:space="preserve">Приказ министерства здравоохранения и социального развития РФ от 17 мая </w:t>
      </w:r>
      <w:smartTag w:uri="urn:schemas-microsoft-com:office:smarttags" w:element="metricconverter">
        <w:smartTagPr>
          <w:attr w:name="ProductID" w:val="2012 г"/>
        </w:smartTagPr>
        <w:r w:rsidRPr="0081058D">
          <w:rPr>
            <w:i/>
          </w:rPr>
          <w:t>2012 г</w:t>
        </w:r>
      </w:smartTag>
      <w:r w:rsidRPr="0081058D">
        <w:rPr>
          <w:i/>
        </w:rPr>
        <w:t xml:space="preserve">. </w:t>
      </w:r>
      <w:r>
        <w:rPr>
          <w:i/>
        </w:rPr>
        <w:t xml:space="preserve">       </w:t>
      </w:r>
      <w:r w:rsidRPr="0081058D">
        <w:rPr>
          <w:i/>
        </w:rPr>
        <w:t xml:space="preserve">№ </w:t>
      </w:r>
      <w:r w:rsidRPr="005C7690">
        <w:rPr>
          <w:i/>
        </w:rPr>
        <w:t>562н</w:t>
      </w:r>
      <w:r w:rsidRPr="0081058D">
        <w:rPr>
          <w:i/>
        </w:rPr>
        <w:t xml:space="preserve">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w:t>
      </w:r>
      <w:r>
        <w:rPr>
          <w:i/>
        </w:rPr>
        <w:t>.</w:t>
      </w:r>
    </w:p>
    <w:p w14:paraId="7B6C770A" w14:textId="77777777" w:rsidR="00A263AA" w:rsidRPr="0081058D" w:rsidRDefault="00A263AA" w:rsidP="00A263AA">
      <w:pPr>
        <w:numPr>
          <w:ilvl w:val="0"/>
          <w:numId w:val="1"/>
        </w:numPr>
        <w:jc w:val="both"/>
        <w:rPr>
          <w:i/>
        </w:rPr>
      </w:pPr>
      <w:r w:rsidRPr="0081058D">
        <w:rPr>
          <w:i/>
        </w:rPr>
        <w:t>Методические указания от 24.07.1997г «Единые правила оформления лекарств, приготовляемых в аптечных учреждениях (предприятиях) различных форм собственности»</w:t>
      </w:r>
      <w:r>
        <w:rPr>
          <w:i/>
        </w:rPr>
        <w:t>.</w:t>
      </w:r>
    </w:p>
    <w:p w14:paraId="0B1FB79E" w14:textId="77777777" w:rsidR="00A263AA" w:rsidRPr="008E159F" w:rsidRDefault="00A263AA" w:rsidP="00A263AA">
      <w:pPr>
        <w:numPr>
          <w:ilvl w:val="0"/>
          <w:numId w:val="1"/>
        </w:numPr>
        <w:autoSpaceDE w:val="0"/>
        <w:autoSpaceDN w:val="0"/>
        <w:adjustRightInd w:val="0"/>
        <w:jc w:val="both"/>
        <w:rPr>
          <w:i/>
        </w:rPr>
      </w:pPr>
      <w:r w:rsidRPr="008E159F">
        <w:rPr>
          <w:i/>
        </w:rPr>
        <w:t>Приказ Министерства здравоохранения РФ от 07 июля 2015г. № 419н «Об утверждении административного регламента по предоставлению органами исполнительной власти субъектов РФ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14:paraId="5AD3DAF9" w14:textId="77777777" w:rsidR="00A263AA" w:rsidRDefault="00A263AA" w:rsidP="00A263AA">
      <w:pPr>
        <w:numPr>
          <w:ilvl w:val="0"/>
          <w:numId w:val="1"/>
        </w:numPr>
        <w:autoSpaceDE w:val="0"/>
        <w:autoSpaceDN w:val="0"/>
        <w:adjustRightInd w:val="0"/>
        <w:jc w:val="both"/>
        <w:rPr>
          <w:i/>
          <w:iCs/>
        </w:rPr>
      </w:pPr>
      <w:r>
        <w:rPr>
          <w:i/>
          <w:iCs/>
        </w:rPr>
        <w:t xml:space="preserve">Приказ Минздрава России от 26.10.2015 </w:t>
      </w:r>
      <w:r>
        <w:rPr>
          <w:i/>
          <w:color w:val="000000"/>
        </w:rPr>
        <w:t>№</w:t>
      </w:r>
      <w:r>
        <w:rPr>
          <w:i/>
          <w:iCs/>
        </w:rPr>
        <w:t xml:space="preserve">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14:paraId="0C84739A" w14:textId="77777777" w:rsidR="00A263AA" w:rsidRDefault="00A263AA" w:rsidP="00A263AA">
      <w:pPr>
        <w:numPr>
          <w:ilvl w:val="0"/>
          <w:numId w:val="1"/>
        </w:numPr>
        <w:autoSpaceDE w:val="0"/>
        <w:autoSpaceDN w:val="0"/>
        <w:adjustRightInd w:val="0"/>
        <w:jc w:val="both"/>
        <w:rPr>
          <w:bCs/>
          <w:i/>
        </w:rPr>
      </w:pPr>
      <w:r w:rsidRPr="00226003">
        <w:rPr>
          <w:bCs/>
          <w:i/>
        </w:rPr>
        <w:t xml:space="preserve">Приказ Минздрава России от 31.10.2018 </w:t>
      </w:r>
      <w:r>
        <w:rPr>
          <w:i/>
          <w:color w:val="000000"/>
        </w:rPr>
        <w:t>№</w:t>
      </w:r>
      <w:r w:rsidRPr="009823C6">
        <w:rPr>
          <w:i/>
          <w:color w:val="000000"/>
        </w:rPr>
        <w:t xml:space="preserve"> </w:t>
      </w:r>
      <w:r w:rsidRPr="00226003">
        <w:rPr>
          <w:bCs/>
          <w:i/>
        </w:rPr>
        <w:t xml:space="preserve">749 "Об утверждении общих фармакопейных статей и фармакопейных статей и признании утратившими силу некоторых приказов </w:t>
      </w:r>
      <w:proofErr w:type="spellStart"/>
      <w:r w:rsidRPr="00226003">
        <w:rPr>
          <w:bCs/>
          <w:i/>
        </w:rPr>
        <w:t>Минздравмедпрома</w:t>
      </w:r>
      <w:proofErr w:type="spellEnd"/>
      <w:r w:rsidRPr="00226003">
        <w:rPr>
          <w:bCs/>
          <w:i/>
        </w:rPr>
        <w:t xml:space="preserve"> России, Минздравсоцразвития России и Минздрава России"</w:t>
      </w:r>
      <w:r>
        <w:rPr>
          <w:bCs/>
          <w:i/>
        </w:rPr>
        <w:t>.</w:t>
      </w:r>
    </w:p>
    <w:p w14:paraId="5053990F" w14:textId="77777777" w:rsidR="00A263AA" w:rsidRDefault="00A263AA" w:rsidP="00A263AA">
      <w:pPr>
        <w:numPr>
          <w:ilvl w:val="0"/>
          <w:numId w:val="1"/>
        </w:numPr>
        <w:autoSpaceDE w:val="0"/>
        <w:autoSpaceDN w:val="0"/>
        <w:adjustRightInd w:val="0"/>
        <w:jc w:val="both"/>
        <w:rPr>
          <w:i/>
          <w:iCs/>
        </w:rPr>
      </w:pPr>
      <w:r w:rsidRPr="00774464">
        <w:rPr>
          <w:i/>
        </w:rPr>
        <w:t xml:space="preserve">Приказ Минздрава России от 14.01.2019 </w:t>
      </w:r>
      <w:r>
        <w:rPr>
          <w:i/>
          <w:color w:val="000000"/>
        </w:rPr>
        <w:t>№</w:t>
      </w:r>
      <w:r w:rsidRPr="009823C6">
        <w:rPr>
          <w:i/>
          <w:color w:val="000000"/>
        </w:rPr>
        <w:t xml:space="preserve"> </w:t>
      </w:r>
      <w:r w:rsidRPr="00774464">
        <w:rPr>
          <w:i/>
        </w:rPr>
        <w:t xml:space="preserve">4н </w:t>
      </w:r>
      <w:r w:rsidRPr="00774464">
        <w:rPr>
          <w:i/>
          <w:iCs/>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3223C48B" w14:textId="77777777" w:rsidR="00A263AA" w:rsidRDefault="00A263AA" w:rsidP="00A263AA">
      <w:pPr>
        <w:numPr>
          <w:ilvl w:val="0"/>
          <w:numId w:val="1"/>
        </w:numPr>
        <w:jc w:val="both"/>
        <w:rPr>
          <w:i/>
        </w:rPr>
      </w:pPr>
      <w:r w:rsidRPr="00BD3A26">
        <w:rPr>
          <w:i/>
        </w:rPr>
        <w:t>Министерство здравоохранения Российской Федерации Приказ от 8 октября 2020 г.          N 1075н «О внесении изменений в порядок назначения лекарственных препаратов, у</w:t>
      </w:r>
      <w:r w:rsidRPr="00BD3A26">
        <w:rPr>
          <w:i/>
          <w:iCs/>
        </w:rPr>
        <w:t>твержденным приказом</w:t>
      </w:r>
      <w:r w:rsidRPr="00BD3A26">
        <w:rPr>
          <w:i/>
        </w:rPr>
        <w:t xml:space="preserve"> министерством здравоохранения Российской Федерации от 14.01.2019г. № 4н»</w:t>
      </w:r>
    </w:p>
    <w:p w14:paraId="2137D826" w14:textId="77777777" w:rsidR="00A263AA" w:rsidRPr="008C237F" w:rsidRDefault="00A263AA" w:rsidP="00A263AA">
      <w:pPr>
        <w:numPr>
          <w:ilvl w:val="0"/>
          <w:numId w:val="1"/>
        </w:numPr>
        <w:jc w:val="both"/>
        <w:rPr>
          <w:i/>
        </w:rPr>
      </w:pPr>
      <w:r w:rsidRPr="008C237F">
        <w:rPr>
          <w:i/>
        </w:rPr>
        <w:t>Приказ Минздрава России от 08.02.2021 N 58н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 в 2021 году" (вместе с "Случаями и условиями, при которых физические лица могут быть допущены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 в 2021 году") (Зарегистрировано в Минюсте России 15.02.2021 N 62490)</w:t>
      </w:r>
    </w:p>
    <w:p w14:paraId="766BE080" w14:textId="77777777" w:rsidR="00A263AA" w:rsidRPr="00BD3A26" w:rsidRDefault="00A263AA" w:rsidP="00A263AA">
      <w:pPr>
        <w:numPr>
          <w:ilvl w:val="0"/>
          <w:numId w:val="1"/>
        </w:numPr>
        <w:autoSpaceDE w:val="0"/>
        <w:autoSpaceDN w:val="0"/>
        <w:adjustRightInd w:val="0"/>
        <w:jc w:val="both"/>
        <w:rPr>
          <w:i/>
          <w:iCs/>
        </w:rPr>
      </w:pPr>
      <w:r w:rsidRPr="00BD3A26">
        <w:rPr>
          <w:i/>
          <w:iCs/>
        </w:rPr>
        <w:t xml:space="preserve"> </w:t>
      </w:r>
      <w:r w:rsidRPr="00BD3A26">
        <w:rPr>
          <w:i/>
        </w:rPr>
        <w:t>Приказ Минздравсоцразвития России от 12.02.2007 N 110 (ред. от 26.02.2013)"О порядке назначения и выписывания лекарственных препаратов, изделий медицинского назначения и специализированных продуктов лечебного питания".</w:t>
      </w:r>
    </w:p>
    <w:p w14:paraId="23907F45" w14:textId="77777777" w:rsidR="00A263AA" w:rsidRDefault="00A263AA" w:rsidP="00A263AA">
      <w:pPr>
        <w:pStyle w:val="ConsPlusNormal"/>
        <w:numPr>
          <w:ilvl w:val="0"/>
          <w:numId w:val="1"/>
        </w:numPr>
        <w:jc w:val="both"/>
        <w:rPr>
          <w:rFonts w:ascii="Times New Roman" w:hAnsi="Times New Roman" w:cs="Times New Roman"/>
          <w:i/>
          <w:sz w:val="24"/>
          <w:szCs w:val="24"/>
        </w:rPr>
      </w:pPr>
      <w:r w:rsidRPr="006F61D2">
        <w:rPr>
          <w:rFonts w:ascii="Times New Roman" w:hAnsi="Times New Roman" w:cs="Times New Roman"/>
          <w:i/>
          <w:sz w:val="24"/>
          <w:szCs w:val="24"/>
        </w:rPr>
        <w:t>Приказ министерства здравоохранения Калужской области от</w:t>
      </w:r>
      <w:r>
        <w:rPr>
          <w:rFonts w:ascii="Times New Roman" w:hAnsi="Times New Roman" w:cs="Times New Roman"/>
          <w:i/>
          <w:sz w:val="24"/>
          <w:szCs w:val="24"/>
        </w:rPr>
        <w:t xml:space="preserve"> </w:t>
      </w:r>
      <w:r w:rsidRPr="006F61D2">
        <w:rPr>
          <w:rFonts w:ascii="Times New Roman" w:hAnsi="Times New Roman" w:cs="Times New Roman"/>
          <w:i/>
          <w:sz w:val="24"/>
          <w:szCs w:val="24"/>
        </w:rPr>
        <w:t xml:space="preserve">12.04.2012г № 420 </w:t>
      </w:r>
      <w:r w:rsidRPr="009823C6">
        <w:rPr>
          <w:rFonts w:ascii="Times New Roman" w:hAnsi="Times New Roman" w:cs="Times New Roman"/>
          <w:i/>
          <w:sz w:val="24"/>
          <w:szCs w:val="24"/>
        </w:rPr>
        <w:t xml:space="preserve">«Об утверждении форм документов, используемых министерством здравоохранения </w:t>
      </w:r>
      <w:r w:rsidRPr="009823C6">
        <w:rPr>
          <w:rFonts w:ascii="Times New Roman" w:hAnsi="Times New Roman" w:cs="Times New Roman"/>
          <w:i/>
          <w:sz w:val="24"/>
          <w:szCs w:val="24"/>
        </w:rPr>
        <w:lastRenderedPageBreak/>
        <w:t>Калужской области в процессе лицензирования фа</w:t>
      </w:r>
      <w:r>
        <w:rPr>
          <w:rFonts w:ascii="Times New Roman" w:hAnsi="Times New Roman" w:cs="Times New Roman"/>
          <w:i/>
          <w:sz w:val="24"/>
          <w:szCs w:val="24"/>
        </w:rPr>
        <w:t>рмацевтической деятельности».</w:t>
      </w:r>
    </w:p>
    <w:p w14:paraId="796F3BC6" w14:textId="77777777" w:rsidR="00A263AA" w:rsidRDefault="00A263AA" w:rsidP="00A263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rPr>
      </w:pPr>
    </w:p>
    <w:p w14:paraId="3B552699" w14:textId="77777777" w:rsidR="00A263AA" w:rsidRPr="00DB676F" w:rsidRDefault="00A263AA" w:rsidP="00A263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pPr>
      <w:r w:rsidRPr="00DB676F">
        <w:rPr>
          <w:b/>
        </w:rPr>
        <w:t>Сведения об опубликовании нормативных правовых актов по лицензированию.</w:t>
      </w:r>
    </w:p>
    <w:p w14:paraId="4CB6853C" w14:textId="77777777" w:rsidR="00A263AA" w:rsidRPr="009B514B" w:rsidRDefault="00A263AA" w:rsidP="00A263AA">
      <w:pPr>
        <w:autoSpaceDE w:val="0"/>
        <w:autoSpaceDN w:val="0"/>
        <w:adjustRightInd w:val="0"/>
        <w:ind w:firstLine="540"/>
        <w:jc w:val="both"/>
        <w:outlineLvl w:val="1"/>
      </w:pPr>
      <w:r w:rsidRPr="009B514B">
        <w:t>Нормативные правовые акты, регламентирующие деятельность лицензирующего органа и его должностных лиц по осуществлению лицензирования отдельных видов дея</w:t>
      </w:r>
      <w:r>
        <w:t xml:space="preserve">тельности, устанавливающие и </w:t>
      </w:r>
      <w:r w:rsidRPr="009B514B">
        <w:t>конкретизирующие содержание лице</w:t>
      </w:r>
      <w:r>
        <w:t xml:space="preserve">нзионных требований, </w:t>
      </w:r>
      <w:r w:rsidRPr="009B514B">
        <w:t xml:space="preserve"> устанавливающи</w:t>
      </w:r>
      <w:r>
        <w:t>е формы документов, используемых</w:t>
      </w:r>
      <w:r w:rsidRPr="009B514B">
        <w:t xml:space="preserve"> при лицензировании опубликованы на официальном сайте министерства в информационно-телекоммуникационной сети «Интернет» и реестре государственных услуг, оказываемых министерством здравоохранения Калужской области на соответствующем Портале.</w:t>
      </w:r>
    </w:p>
    <w:p w14:paraId="002FB3B4" w14:textId="77777777" w:rsidR="00227134" w:rsidRPr="001C62EA" w:rsidRDefault="00227134">
      <w:pPr>
        <w:rPr>
          <w:sz w:val="32"/>
          <w:szCs w:val="32"/>
        </w:rPr>
      </w:pPr>
    </w:p>
    <w:p w14:paraId="410DB79D"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14:paraId="4649D6DB" w14:textId="77777777" w:rsidR="00227134" w:rsidRPr="001C62EA" w:rsidRDefault="00227134">
      <w:pPr>
        <w:rPr>
          <w:sz w:val="32"/>
          <w:szCs w:val="32"/>
        </w:rPr>
      </w:pPr>
    </w:p>
    <w:p w14:paraId="7D1E982A" w14:textId="77777777" w:rsidR="00A263AA" w:rsidRPr="00DB676F" w:rsidRDefault="00A263AA" w:rsidP="00A263AA">
      <w:pPr>
        <w:autoSpaceDE w:val="0"/>
        <w:autoSpaceDN w:val="0"/>
        <w:adjustRightInd w:val="0"/>
        <w:ind w:firstLine="540"/>
        <w:jc w:val="both"/>
        <w:rPr>
          <w:b/>
        </w:rPr>
      </w:pPr>
      <w:r w:rsidRPr="00DB676F">
        <w:rPr>
          <w:b/>
        </w:rPr>
        <w:t>а) сведения об организационной структуре лицензирующего органа и о распределении полномочий между структурными подразделениями, осуществляющими лицензирование;</w:t>
      </w:r>
    </w:p>
    <w:p w14:paraId="19C08F74" w14:textId="77777777" w:rsidR="00A263AA" w:rsidRPr="005E08AD" w:rsidRDefault="00A263AA" w:rsidP="00A263AA">
      <w:pPr>
        <w:autoSpaceDE w:val="0"/>
        <w:autoSpaceDN w:val="0"/>
        <w:adjustRightInd w:val="0"/>
        <w:ind w:firstLine="540"/>
        <w:jc w:val="both"/>
      </w:pPr>
      <w:r w:rsidRPr="005E08AD">
        <w:t xml:space="preserve">Для исполнения переданных полномочий по лицензированию в составе министерства создано </w:t>
      </w:r>
      <w:smartTag w:uri="urn:schemas-microsoft-com:office:smarttags" w:element="PersonName">
        <w:smartTagPr>
          <w:attr w:name="ProductID" w:val="управление лицензирования и"/>
        </w:smartTagPr>
        <w:r w:rsidRPr="005E08AD">
          <w:t>управление лицензирования и</w:t>
        </w:r>
      </w:smartTag>
      <w:r w:rsidRPr="005E08AD">
        <w:t xml:space="preserve"> лекарственного обеспечения, в составе которого 2 структурных подразделения - отдел по лицензированию фармацевтической и медицинской деятельности (далее</w:t>
      </w:r>
      <w:r>
        <w:t xml:space="preserve"> - </w:t>
      </w:r>
      <w:r w:rsidRPr="005E08AD">
        <w:t>отдел по лицензированию) и отдел организации лекарственного обеспечения.</w:t>
      </w:r>
    </w:p>
    <w:p w14:paraId="0B4C02ED" w14:textId="77777777" w:rsidR="00A263AA" w:rsidRPr="005E08AD" w:rsidRDefault="00A263AA" w:rsidP="00A263AA">
      <w:pPr>
        <w:autoSpaceDE w:val="0"/>
        <w:autoSpaceDN w:val="0"/>
        <w:adjustRightInd w:val="0"/>
        <w:ind w:firstLine="540"/>
        <w:jc w:val="both"/>
      </w:pPr>
      <w:r w:rsidRPr="005E08AD">
        <w:t xml:space="preserve">Полномочия по лицензированию фармацевтической, медицинской деятельности и деятельности по обороту наркотиков исполняет отдел по лицензированию фармацевтической и медицинской деятельности, </w:t>
      </w:r>
      <w:r>
        <w:t xml:space="preserve">со </w:t>
      </w:r>
      <w:r w:rsidRPr="005502B4">
        <w:t xml:space="preserve">штатной численностью работников отдела </w:t>
      </w:r>
      <w:r>
        <w:t>- 3</w:t>
      </w:r>
      <w:r w:rsidRPr="00F16EF4">
        <w:t xml:space="preserve"> государственных гражданских служащих:</w:t>
      </w:r>
      <w:r>
        <w:t xml:space="preserve"> </w:t>
      </w:r>
      <w:r w:rsidRPr="00F16EF4">
        <w:t xml:space="preserve">начальник отдела, </w:t>
      </w:r>
      <w:r>
        <w:t>главный</w:t>
      </w:r>
      <w:r w:rsidRPr="00F16EF4">
        <w:t xml:space="preserve"> и </w:t>
      </w:r>
      <w:r>
        <w:t>ведущий специалисты</w:t>
      </w:r>
      <w:r w:rsidRPr="00F16EF4">
        <w:t>.</w:t>
      </w:r>
      <w:r w:rsidRPr="005E08AD">
        <w:t xml:space="preserve"> </w:t>
      </w:r>
    </w:p>
    <w:p w14:paraId="7E18F0E5" w14:textId="77777777" w:rsidR="00A263AA" w:rsidRPr="005E08AD" w:rsidRDefault="00A263AA" w:rsidP="00A263AA">
      <w:pPr>
        <w:autoSpaceDE w:val="0"/>
        <w:autoSpaceDN w:val="0"/>
        <w:adjustRightInd w:val="0"/>
        <w:ind w:firstLine="540"/>
        <w:jc w:val="both"/>
      </w:pPr>
      <w:r w:rsidRPr="005E08AD">
        <w:t xml:space="preserve">Непосредственно функции по лицензированию </w:t>
      </w:r>
      <w:r w:rsidRPr="0087479D">
        <w:t xml:space="preserve">фармацевтической </w:t>
      </w:r>
      <w:r w:rsidRPr="005E08AD">
        <w:t>деятельности и деятельности по обороту наркотиков осуществля</w:t>
      </w:r>
      <w:r>
        <w:t>ю</w:t>
      </w:r>
      <w:r w:rsidRPr="005E08AD">
        <w:t xml:space="preserve">т </w:t>
      </w:r>
      <w:r>
        <w:t>два</w:t>
      </w:r>
      <w:r w:rsidRPr="005E08AD">
        <w:t xml:space="preserve"> должностн</w:t>
      </w:r>
      <w:r>
        <w:t>ых</w:t>
      </w:r>
      <w:r w:rsidRPr="005E08AD">
        <w:t xml:space="preserve"> лиц</w:t>
      </w:r>
      <w:r>
        <w:t>а</w:t>
      </w:r>
      <w:r w:rsidRPr="005E08AD">
        <w:t xml:space="preserve"> министерства </w:t>
      </w:r>
      <w:r>
        <w:t>–</w:t>
      </w:r>
      <w:r w:rsidRPr="005E08AD">
        <w:t xml:space="preserve"> </w:t>
      </w:r>
      <w:r>
        <w:t>главный и ведущий</w:t>
      </w:r>
      <w:r w:rsidRPr="005E08AD">
        <w:t xml:space="preserve"> специалист</w:t>
      </w:r>
      <w:r>
        <w:t>ы (н</w:t>
      </w:r>
      <w:r>
        <w:rPr>
          <w:sz w:val="22"/>
          <w:szCs w:val="22"/>
        </w:rPr>
        <w:t>а период их отсутствия – начальник отдела)</w:t>
      </w:r>
      <w:r w:rsidRPr="005E08AD">
        <w:t>.</w:t>
      </w:r>
    </w:p>
    <w:p w14:paraId="1DDE873E" w14:textId="77777777" w:rsidR="00A263AA" w:rsidRPr="005E08AD" w:rsidRDefault="00A263AA" w:rsidP="00A263AA">
      <w:pPr>
        <w:autoSpaceDE w:val="0"/>
        <w:autoSpaceDN w:val="0"/>
        <w:adjustRightInd w:val="0"/>
        <w:ind w:firstLine="540"/>
        <w:jc w:val="both"/>
      </w:pPr>
      <w:r w:rsidRPr="005E08AD">
        <w:t>В необходимых случаях специалистов отдела по лицензированию консультируют юристы министерства.</w:t>
      </w:r>
    </w:p>
    <w:p w14:paraId="7CF70759" w14:textId="77777777" w:rsidR="00A263AA" w:rsidRPr="00DB676F" w:rsidRDefault="00A263AA" w:rsidP="00A263AA">
      <w:pPr>
        <w:autoSpaceDE w:val="0"/>
        <w:autoSpaceDN w:val="0"/>
        <w:adjustRightInd w:val="0"/>
        <w:ind w:firstLine="540"/>
        <w:jc w:val="both"/>
        <w:rPr>
          <w:b/>
        </w:rPr>
      </w:pPr>
      <w:r w:rsidRPr="00DB676F">
        <w:rPr>
          <w:b/>
        </w:rPr>
        <w:t>б) сведения об организации и осуществлении лицензирования конкретных видов деятельности, в том числе в электронной форме;</w:t>
      </w:r>
    </w:p>
    <w:p w14:paraId="2BE1D985" w14:textId="77777777" w:rsidR="00A263AA" w:rsidRDefault="00A263AA" w:rsidP="00A263AA">
      <w:pPr>
        <w:autoSpaceDE w:val="0"/>
        <w:autoSpaceDN w:val="0"/>
        <w:adjustRightInd w:val="0"/>
        <w:ind w:firstLine="540"/>
        <w:jc w:val="both"/>
      </w:pPr>
      <w:r w:rsidRPr="005E08AD">
        <w:t xml:space="preserve">В министерстве лицензирование фармацевтической деятельности организовано и осуществляется в соответствии с законодательством РФ о лицензировании и предоставлении государственных услуг. </w:t>
      </w:r>
    </w:p>
    <w:p w14:paraId="12628448" w14:textId="77777777" w:rsidR="00A263AA" w:rsidRPr="002A2741" w:rsidRDefault="00A263AA" w:rsidP="00A263AA">
      <w:pPr>
        <w:ind w:firstLine="709"/>
        <w:jc w:val="both"/>
      </w:pPr>
      <w:r w:rsidRPr="002A2741">
        <w:t>Информирование о порядке предоставления государственной услуги по лицензированию осуществляется:</w:t>
      </w:r>
    </w:p>
    <w:p w14:paraId="68798423" w14:textId="77777777" w:rsidR="00A263AA" w:rsidRPr="002A2741" w:rsidRDefault="00A263AA" w:rsidP="00A263AA">
      <w:pPr>
        <w:tabs>
          <w:tab w:val="left" w:pos="11199"/>
        </w:tabs>
        <w:autoSpaceDE w:val="0"/>
        <w:autoSpaceDN w:val="0"/>
        <w:adjustRightInd w:val="0"/>
        <w:ind w:firstLine="709"/>
        <w:jc w:val="both"/>
      </w:pPr>
      <w:r w:rsidRPr="002A2741">
        <w:t>1) посредством размещения информации</w:t>
      </w:r>
      <w:r>
        <w:t xml:space="preserve"> на официальном сайте м</w:t>
      </w:r>
      <w:r w:rsidRPr="002A2741">
        <w:t>ин</w:t>
      </w:r>
      <w:r>
        <w:t xml:space="preserve">истерства </w:t>
      </w:r>
      <w:r w:rsidRPr="002A2741">
        <w:t>здрав</w:t>
      </w:r>
      <w:r>
        <w:t>оохранения</w:t>
      </w:r>
      <w:r w:rsidRPr="002A2741">
        <w:t xml:space="preserve"> </w:t>
      </w:r>
      <w:r>
        <w:t>Калужской области (</w:t>
      </w:r>
      <w:r w:rsidRPr="002A2741">
        <w:t>http://www.admoblkaluga.ru/sub/health/licenz/</w:t>
      </w:r>
      <w:r>
        <w:t>);</w:t>
      </w:r>
      <w:r w:rsidRPr="002A2741">
        <w:t xml:space="preserve"> </w:t>
      </w:r>
    </w:p>
    <w:p w14:paraId="18CF2595" w14:textId="77777777" w:rsidR="00A263AA" w:rsidRPr="002A2741" w:rsidRDefault="00A263AA" w:rsidP="00A263AA">
      <w:pPr>
        <w:ind w:firstLine="720"/>
        <w:jc w:val="both"/>
      </w:pPr>
      <w:r w:rsidRPr="002A2741">
        <w:t xml:space="preserve">2) на портале государственных услуг </w:t>
      </w:r>
      <w:r>
        <w:t>Калужской</w:t>
      </w:r>
      <w:r w:rsidRPr="002A2741">
        <w:t xml:space="preserve"> области (</w:t>
      </w:r>
      <w:hyperlink r:id="rId7" w:history="1">
        <w:r w:rsidRPr="00A02AF1">
          <w:rPr>
            <w:rStyle w:val="ab"/>
          </w:rPr>
          <w:t>http://gosuslugi.admoblkaluga.ru/we</w:t>
        </w:r>
        <w:r w:rsidRPr="00A02AF1">
          <w:rPr>
            <w:rStyle w:val="ab"/>
          </w:rPr>
          <w:t>b</w:t>
        </w:r>
        <w:r w:rsidRPr="00A02AF1">
          <w:rPr>
            <w:rStyle w:val="ab"/>
          </w:rPr>
          <w:t>/guest/main</w:t>
        </w:r>
      </w:hyperlink>
      <w:r w:rsidRPr="002A2741">
        <w:t>)</w:t>
      </w:r>
      <w:r>
        <w:t xml:space="preserve"> и в </w:t>
      </w:r>
      <w:r w:rsidRPr="00EB7DC7">
        <w:rPr>
          <w:color w:val="000000"/>
        </w:rPr>
        <w:t>федеральной государственной информационной систем</w:t>
      </w:r>
      <w:r>
        <w:rPr>
          <w:color w:val="000000"/>
        </w:rPr>
        <w:t>е</w:t>
      </w:r>
      <w:r w:rsidRPr="00EB7DC7">
        <w:rPr>
          <w:color w:val="000000"/>
        </w:rPr>
        <w:t xml:space="preserve"> </w:t>
      </w:r>
      <w:r w:rsidRPr="00202728">
        <w:rPr>
          <w:rStyle w:val="ac"/>
          <w:b w:val="0"/>
          <w:color w:val="000000"/>
        </w:rPr>
        <w:t>"Единый портал государственных и муниципальных услуг (функций)"</w:t>
      </w:r>
      <w:r>
        <w:rPr>
          <w:rStyle w:val="ac"/>
          <w:b w:val="0"/>
          <w:color w:val="000000"/>
        </w:rPr>
        <w:t xml:space="preserve"> (</w:t>
      </w:r>
      <w:r w:rsidRPr="00202728">
        <w:rPr>
          <w:rStyle w:val="ac"/>
          <w:b w:val="0"/>
          <w:color w:val="000000"/>
        </w:rPr>
        <w:t>http://www.gosuslugi.ru/pgu</w:t>
      </w:r>
      <w:r>
        <w:rPr>
          <w:rStyle w:val="ac"/>
          <w:b w:val="0"/>
          <w:color w:val="000000"/>
        </w:rPr>
        <w:t>)</w:t>
      </w:r>
      <w:r w:rsidRPr="002A2741">
        <w:t>;</w:t>
      </w:r>
    </w:p>
    <w:p w14:paraId="5DE18A10" w14:textId="77777777" w:rsidR="00A263AA" w:rsidRPr="002A2741" w:rsidRDefault="00A263AA" w:rsidP="00A263AA">
      <w:pPr>
        <w:pStyle w:val="NoSpacing"/>
        <w:ind w:right="-1" w:firstLine="709"/>
        <w:jc w:val="both"/>
        <w:rPr>
          <w:rFonts w:ascii="Times New Roman" w:hAnsi="Times New Roman"/>
          <w:sz w:val="24"/>
          <w:szCs w:val="24"/>
        </w:rPr>
      </w:pPr>
      <w:r w:rsidRPr="002A2741">
        <w:rPr>
          <w:rFonts w:ascii="Times New Roman" w:hAnsi="Times New Roman"/>
          <w:sz w:val="24"/>
          <w:szCs w:val="24"/>
        </w:rPr>
        <w:t>3) на инфо</w:t>
      </w:r>
      <w:r>
        <w:rPr>
          <w:rFonts w:ascii="Times New Roman" w:hAnsi="Times New Roman"/>
          <w:sz w:val="24"/>
          <w:szCs w:val="24"/>
        </w:rPr>
        <w:t>рмационных стендах в помещении м</w:t>
      </w:r>
      <w:r w:rsidRPr="002A2741">
        <w:rPr>
          <w:rFonts w:ascii="Times New Roman" w:hAnsi="Times New Roman"/>
          <w:sz w:val="24"/>
          <w:szCs w:val="24"/>
        </w:rPr>
        <w:t>ин</w:t>
      </w:r>
      <w:r>
        <w:rPr>
          <w:rFonts w:ascii="Times New Roman" w:hAnsi="Times New Roman"/>
          <w:sz w:val="24"/>
          <w:szCs w:val="24"/>
        </w:rPr>
        <w:t xml:space="preserve">истерства </w:t>
      </w:r>
      <w:r w:rsidRPr="002A2741">
        <w:rPr>
          <w:rFonts w:ascii="Times New Roman" w:hAnsi="Times New Roman"/>
          <w:sz w:val="24"/>
          <w:szCs w:val="24"/>
        </w:rPr>
        <w:t>здрав</w:t>
      </w:r>
      <w:r>
        <w:rPr>
          <w:rFonts w:ascii="Times New Roman" w:hAnsi="Times New Roman"/>
          <w:sz w:val="24"/>
          <w:szCs w:val="24"/>
        </w:rPr>
        <w:t>оохранения</w:t>
      </w:r>
      <w:r w:rsidRPr="002A2741">
        <w:rPr>
          <w:rFonts w:ascii="Times New Roman" w:hAnsi="Times New Roman"/>
          <w:sz w:val="24"/>
          <w:szCs w:val="24"/>
        </w:rPr>
        <w:t xml:space="preserve"> </w:t>
      </w:r>
      <w:r>
        <w:rPr>
          <w:rFonts w:ascii="Times New Roman" w:hAnsi="Times New Roman"/>
          <w:sz w:val="24"/>
          <w:szCs w:val="24"/>
        </w:rPr>
        <w:t xml:space="preserve">Калужской </w:t>
      </w:r>
      <w:r w:rsidRPr="002A2741">
        <w:rPr>
          <w:rFonts w:ascii="Times New Roman" w:hAnsi="Times New Roman"/>
          <w:sz w:val="24"/>
          <w:szCs w:val="24"/>
        </w:rPr>
        <w:t>области.</w:t>
      </w:r>
    </w:p>
    <w:p w14:paraId="307A65D9" w14:textId="77777777" w:rsidR="00A263AA" w:rsidRPr="005E08AD" w:rsidRDefault="00A263AA" w:rsidP="00A263AA">
      <w:pPr>
        <w:autoSpaceDE w:val="0"/>
        <w:autoSpaceDN w:val="0"/>
        <w:adjustRightInd w:val="0"/>
        <w:ind w:firstLine="540"/>
        <w:jc w:val="both"/>
      </w:pPr>
      <w:r w:rsidRPr="005E08AD">
        <w:t>Последовательность, порядок и сроки исполнения административных процедур при осуществлении министерством лицензирования фармацевтической деятельности, установленные законодательством Российской Федерации о лицензировании и предоставлении государственных услуг</w:t>
      </w:r>
      <w:r>
        <w:t>,</w:t>
      </w:r>
      <w:r w:rsidRPr="005E08AD">
        <w:t xml:space="preserve"> строго соблюдаются.</w:t>
      </w:r>
    </w:p>
    <w:p w14:paraId="62A20E19" w14:textId="77777777" w:rsidR="00A263AA" w:rsidRPr="005E08AD" w:rsidRDefault="00A263AA" w:rsidP="00A263AA">
      <w:pPr>
        <w:autoSpaceDE w:val="0"/>
        <w:autoSpaceDN w:val="0"/>
        <w:adjustRightInd w:val="0"/>
        <w:ind w:firstLine="540"/>
        <w:jc w:val="both"/>
      </w:pPr>
      <w:r w:rsidRPr="005E08AD">
        <w:t xml:space="preserve">В реестре государственных услуг </w:t>
      </w:r>
      <w:r>
        <w:t>одноименного</w:t>
      </w:r>
      <w:r w:rsidRPr="005E08AD">
        <w:t xml:space="preserve"> Портала Калужской области размещена необходимая информация, формы и примеры документов по лицензированию фармацевтической </w:t>
      </w:r>
      <w:r w:rsidRPr="005E08AD">
        <w:lastRenderedPageBreak/>
        <w:t xml:space="preserve">деятельности. </w:t>
      </w:r>
      <w:r w:rsidRPr="00541579">
        <w:t>Вся необходимая работа по осуществлению лицензирования в электронной форме министерством проведена.</w:t>
      </w:r>
      <w:r w:rsidRPr="005E08AD">
        <w:t xml:space="preserve"> </w:t>
      </w:r>
    </w:p>
    <w:p w14:paraId="7E03ADDE" w14:textId="77777777" w:rsidR="00A263AA" w:rsidRPr="009000B9" w:rsidRDefault="00A263AA" w:rsidP="00A263AA">
      <w:pPr>
        <w:autoSpaceDE w:val="0"/>
        <w:autoSpaceDN w:val="0"/>
        <w:adjustRightInd w:val="0"/>
        <w:ind w:firstLine="540"/>
        <w:jc w:val="both"/>
      </w:pPr>
      <w:r w:rsidRPr="005E08AD">
        <w:t xml:space="preserve">На персональных компьютерах специалистов отдела установлены программные продукты по приему заявлений соискателей лицензии (лицензиатов) в электронной форме. </w:t>
      </w:r>
      <w:r w:rsidRPr="009000B9">
        <w:t>За отчетный период в электронной форме</w:t>
      </w:r>
      <w:r>
        <w:t xml:space="preserve"> заявлений не</w:t>
      </w:r>
      <w:r w:rsidRPr="009000B9">
        <w:t xml:space="preserve"> представлено.</w:t>
      </w:r>
    </w:p>
    <w:p w14:paraId="6E322737" w14:textId="77777777" w:rsidR="00A263AA" w:rsidRPr="0079203D" w:rsidRDefault="00A263AA" w:rsidP="00A263AA">
      <w:pPr>
        <w:autoSpaceDE w:val="0"/>
        <w:autoSpaceDN w:val="0"/>
        <w:adjustRightInd w:val="0"/>
        <w:ind w:firstLine="540"/>
        <w:jc w:val="both"/>
        <w:rPr>
          <w:b/>
        </w:rPr>
      </w:pPr>
      <w:r w:rsidRPr="00DB676F">
        <w:rPr>
          <w:b/>
        </w:rPr>
        <w:t>в) сведения об организации межведомственного взаимодействия</w:t>
      </w:r>
      <w:r w:rsidRPr="005E08AD">
        <w:rPr>
          <w:b/>
          <w:color w:val="008000"/>
        </w:rPr>
        <w:t xml:space="preserve"> </w:t>
      </w:r>
      <w:r w:rsidRPr="00692272">
        <w:rPr>
          <w:b/>
        </w:rPr>
        <w:t>при осуществлении лицензирования конкретных видов деятельности, включая</w:t>
      </w:r>
      <w:r w:rsidRPr="0079203D">
        <w:rPr>
          <w:b/>
          <w:color w:val="008000"/>
        </w:rPr>
        <w:t xml:space="preserve"> </w:t>
      </w:r>
      <w:r w:rsidRPr="0079203D">
        <w:rPr>
          <w:b/>
        </w:rPr>
        <w:t>перечень запрашиваемых в порядке межведомственного взаимодействия документов, в том числе о среднем сроке ответа на межведомственный запрос.</w:t>
      </w:r>
    </w:p>
    <w:p w14:paraId="151755B4" w14:textId="77777777" w:rsidR="00A263AA" w:rsidRDefault="00A263AA" w:rsidP="00A263AA">
      <w:pPr>
        <w:autoSpaceDE w:val="0"/>
        <w:autoSpaceDN w:val="0"/>
        <w:adjustRightInd w:val="0"/>
        <w:ind w:firstLine="540"/>
        <w:jc w:val="both"/>
      </w:pPr>
      <w:r w:rsidRPr="005E08AD">
        <w:t>На персональных компьютерах специалистов отдела установлен программный продукт «Полтава» по осуществлению межведомственного электронного взаимодействия с органами государственной власти, сведения из реестров и информационных систем которых, используется при лицензировании.</w:t>
      </w:r>
    </w:p>
    <w:p w14:paraId="3B3FA372" w14:textId="77777777" w:rsidR="00A263AA" w:rsidRPr="005E08AD" w:rsidRDefault="00A263AA" w:rsidP="00A263AA">
      <w:pPr>
        <w:autoSpaceDE w:val="0"/>
        <w:autoSpaceDN w:val="0"/>
        <w:adjustRightInd w:val="0"/>
        <w:ind w:firstLine="540"/>
        <w:jc w:val="both"/>
      </w:pPr>
      <w:r w:rsidRPr="005E08AD">
        <w:t xml:space="preserve">На отчетную дату межведомственное электронное взаимодействие в целях проверки полноты и достоверности сведений, представляемых заявителем при осуществлении лицензирования фармацевтической деятельности организовано: </w:t>
      </w:r>
    </w:p>
    <w:p w14:paraId="136E2A14" w14:textId="77777777" w:rsidR="00A263AA" w:rsidRPr="005E08AD" w:rsidRDefault="00A263AA" w:rsidP="00A263AA">
      <w:pPr>
        <w:autoSpaceDE w:val="0"/>
        <w:autoSpaceDN w:val="0"/>
        <w:adjustRightInd w:val="0"/>
        <w:ind w:firstLine="540"/>
        <w:jc w:val="both"/>
      </w:pPr>
      <w:r w:rsidRPr="005E08AD">
        <w:t>- с Федеральной налоговой службой – запрашиваются и получаются сведения из Единого государственного реестра юридических лиц (индивидуальных предпринимателей) в виде выписки;</w:t>
      </w:r>
    </w:p>
    <w:p w14:paraId="0450F6B2" w14:textId="77777777" w:rsidR="00A263AA" w:rsidRDefault="00A263AA" w:rsidP="00A263AA">
      <w:pPr>
        <w:autoSpaceDE w:val="0"/>
        <w:autoSpaceDN w:val="0"/>
        <w:adjustRightInd w:val="0"/>
        <w:ind w:firstLine="540"/>
        <w:jc w:val="both"/>
      </w:pPr>
      <w:r w:rsidRPr="005E08AD">
        <w:t xml:space="preserve">- с </w:t>
      </w:r>
      <w:r>
        <w:t>Министерством внутренних дел</w:t>
      </w:r>
      <w:r w:rsidRPr="005E08AD">
        <w:t xml:space="preserve"> – запрашиваются и получаются сведения, подтверждающие паспортные данные и регистрацию по месту жительства индивидуальных предпринимателей.</w:t>
      </w:r>
    </w:p>
    <w:p w14:paraId="3114AB56" w14:textId="77777777" w:rsidR="00A263AA" w:rsidRDefault="00A263AA" w:rsidP="00A263AA">
      <w:pPr>
        <w:autoSpaceDE w:val="0"/>
        <w:autoSpaceDN w:val="0"/>
        <w:adjustRightInd w:val="0"/>
        <w:ind w:firstLine="540"/>
        <w:jc w:val="both"/>
      </w:pPr>
      <w:r w:rsidRPr="005B4B55">
        <w:rPr>
          <w:b/>
          <w:i/>
        </w:rPr>
        <w:t xml:space="preserve">- </w:t>
      </w:r>
      <w:r w:rsidRPr="00146909">
        <w:t>с Федеральной службой по надзору в сфере защиты прав потребителей и благополучия человека – запрашиваются и получаются сведения из санитарно-эпидемиологических заключений о соответствии видов деятельности требованиям государственных санитарно-эпидемиологических правил и нормативов.</w:t>
      </w:r>
    </w:p>
    <w:p w14:paraId="00FDBD37" w14:textId="77777777" w:rsidR="00A263AA" w:rsidRPr="00A426C6" w:rsidRDefault="00A263AA" w:rsidP="00A263AA">
      <w:pPr>
        <w:tabs>
          <w:tab w:val="left" w:pos="851"/>
        </w:tabs>
        <w:autoSpaceDE w:val="0"/>
        <w:autoSpaceDN w:val="0"/>
        <w:adjustRightInd w:val="0"/>
        <w:ind w:firstLine="709"/>
        <w:jc w:val="both"/>
      </w:pPr>
      <w:r w:rsidRPr="008E159F">
        <w:t>- с Казначейством России - запрашиваются и получаются сведения, подтверждающие уплату государственной пошлины за предоставление лицензии.</w:t>
      </w:r>
      <w:r>
        <w:t xml:space="preserve"> </w:t>
      </w:r>
    </w:p>
    <w:p w14:paraId="21509896" w14:textId="77777777" w:rsidR="00A263AA" w:rsidRPr="00422E8A" w:rsidRDefault="00A263AA" w:rsidP="00A263AA">
      <w:pPr>
        <w:autoSpaceDE w:val="0"/>
        <w:autoSpaceDN w:val="0"/>
        <w:adjustRightInd w:val="0"/>
        <w:ind w:firstLine="540"/>
        <w:jc w:val="both"/>
      </w:pPr>
      <w:r w:rsidRPr="00FA4EEB">
        <w:t>- с Федеральной службой государственной регистрации, кадастра и картографии</w:t>
      </w:r>
      <w:r w:rsidRPr="00FA4EEB">
        <w:rPr>
          <w:sz w:val="28"/>
          <w:szCs w:val="28"/>
        </w:rPr>
        <w:t xml:space="preserve"> </w:t>
      </w:r>
      <w:r w:rsidRPr="00FA4EEB">
        <w:t>запрашиваются и получаются - сведения о документах, подтверждающих наличие у соискателя лицензии (лицензиате) на праве собственности или ином законном основании зданий, помещений, необходимых для осуществления фармацевтической деятельности</w:t>
      </w:r>
      <w:r>
        <w:t>, сервис работает не стабильно</w:t>
      </w:r>
      <w:r w:rsidRPr="00FA4EEB">
        <w:t>.</w:t>
      </w:r>
    </w:p>
    <w:p w14:paraId="2BFA6F69" w14:textId="77777777" w:rsidR="00A263AA" w:rsidRPr="005E08AD" w:rsidRDefault="00A263AA" w:rsidP="00A263AA">
      <w:pPr>
        <w:autoSpaceDE w:val="0"/>
        <w:autoSpaceDN w:val="0"/>
        <w:adjustRightInd w:val="0"/>
        <w:ind w:firstLine="540"/>
        <w:jc w:val="both"/>
      </w:pPr>
      <w:r w:rsidRPr="005E08AD">
        <w:t xml:space="preserve">Средний срок ответа на межведомственный запрос составляет от 1 до </w:t>
      </w:r>
      <w:r>
        <w:t>3</w:t>
      </w:r>
      <w:r w:rsidRPr="005E08AD">
        <w:t xml:space="preserve"> суток.</w:t>
      </w:r>
    </w:p>
    <w:p w14:paraId="4190E7F9" w14:textId="77777777" w:rsidR="00A263AA" w:rsidRPr="00DB676F" w:rsidRDefault="00A263AA" w:rsidP="00A263AA">
      <w:pPr>
        <w:autoSpaceDE w:val="0"/>
        <w:autoSpaceDN w:val="0"/>
        <w:adjustRightInd w:val="0"/>
        <w:ind w:firstLine="540"/>
        <w:jc w:val="both"/>
        <w:rPr>
          <w:b/>
        </w:rPr>
      </w:pPr>
      <w:r w:rsidRPr="00DB676F">
        <w:rPr>
          <w:b/>
        </w:rPr>
        <w:t xml:space="preserve">г) сведения об организации взаимодействия в электронной форме </w:t>
      </w:r>
      <w:bookmarkStart w:id="0" w:name="OLE_LINK7"/>
      <w:bookmarkStart w:id="1" w:name="OLE_LINK8"/>
      <w:r w:rsidRPr="00DB676F">
        <w:rPr>
          <w:b/>
        </w:rPr>
        <w:t>с соискателями лицензии (лицензиатами) в рамках полномочий по лицензированию конкретных видов деятельности</w:t>
      </w:r>
      <w:bookmarkEnd w:id="0"/>
      <w:bookmarkEnd w:id="1"/>
    </w:p>
    <w:p w14:paraId="6F200EF6" w14:textId="77777777" w:rsidR="00A263AA" w:rsidRPr="005E08AD" w:rsidRDefault="00A263AA" w:rsidP="00A263AA">
      <w:pPr>
        <w:autoSpaceDE w:val="0"/>
        <w:autoSpaceDN w:val="0"/>
        <w:adjustRightInd w:val="0"/>
        <w:ind w:firstLine="540"/>
        <w:jc w:val="both"/>
      </w:pPr>
      <w:r w:rsidRPr="005E08AD">
        <w:t xml:space="preserve">Отделом по лицензированию организовано взаимодействие с соискателями лицензии (лицензиатами) в электронной форме в рамках оказания государственной услуги по лицензированию фармацевтической деятельности по вопросам подготовки к лицензированию (переоформлению) </w:t>
      </w:r>
      <w:smartTag w:uri="urn:schemas-microsoft-com:office:smarttags" w:element="PersonName">
        <w:smartTagPr>
          <w:attr w:name="ProductID" w:val="лицензий и по"/>
        </w:smartTagPr>
        <w:r w:rsidRPr="005E08AD">
          <w:t xml:space="preserve">лицензий </w:t>
        </w:r>
        <w:r w:rsidRPr="00226003">
          <w:t>и по</w:t>
        </w:r>
      </w:smartTag>
      <w:r w:rsidRPr="00226003">
        <w:t xml:space="preserve"> соблюдению лицензионных требований</w:t>
      </w:r>
      <w:r>
        <w:t xml:space="preserve"> путем консультирования, предоставления форм документов, нормативных правовых актов, устанавливающих обязательные требования по электронной почте. </w:t>
      </w:r>
    </w:p>
    <w:p w14:paraId="3BEAF13F" w14:textId="77777777" w:rsidR="00A263AA" w:rsidRPr="00DB676F" w:rsidRDefault="00A263AA" w:rsidP="00A263AA">
      <w:pPr>
        <w:autoSpaceDE w:val="0"/>
        <w:autoSpaceDN w:val="0"/>
        <w:adjustRightInd w:val="0"/>
        <w:ind w:firstLine="540"/>
        <w:jc w:val="both"/>
        <w:rPr>
          <w:b/>
        </w:rPr>
      </w:pPr>
      <w:r w:rsidRPr="00DB676F">
        <w:rPr>
          <w:b/>
        </w:rPr>
        <w:t>д) сведения о проведении проверок соискателей лицензии (лицензиатов), в том числе проведенных совместно с органами государственного контроля (надзора)</w:t>
      </w:r>
    </w:p>
    <w:p w14:paraId="3F35DDB8" w14:textId="77777777" w:rsidR="00A263AA" w:rsidRPr="0087479D" w:rsidRDefault="00A263AA" w:rsidP="00A263AA">
      <w:pPr>
        <w:autoSpaceDE w:val="0"/>
        <w:autoSpaceDN w:val="0"/>
        <w:adjustRightInd w:val="0"/>
        <w:ind w:firstLine="540"/>
        <w:jc w:val="both"/>
      </w:pPr>
      <w:r w:rsidRPr="0087479D">
        <w:t>Сведения о проведении проверок соискателей лицензии (лицензиатов</w:t>
      </w:r>
      <w:r>
        <w:t>)</w:t>
      </w:r>
      <w:r w:rsidRPr="0087479D">
        <w:t>.</w:t>
      </w:r>
    </w:p>
    <w:p w14:paraId="1087C1E6" w14:textId="77777777" w:rsidR="00A263AA" w:rsidRDefault="00A263AA" w:rsidP="00A263AA">
      <w:pPr>
        <w:autoSpaceDE w:val="0"/>
        <w:autoSpaceDN w:val="0"/>
        <w:adjustRightInd w:val="0"/>
        <w:ind w:firstLine="540"/>
        <w:jc w:val="both"/>
      </w:pPr>
      <w:r w:rsidRPr="005E08AD">
        <w:t>При поступлении в министерство заявлений и прилагаемых к ним документов о предоставлении, переоформлении, прекращении действия лицензий сотрудниками отдела по лицензированию проводятся проверки полноты и достоверност</w:t>
      </w:r>
      <w:r>
        <w:t>и представленных в них сведений</w:t>
      </w:r>
      <w:r w:rsidRPr="005E08AD">
        <w:t xml:space="preserve"> и соответствия законодательству о лицензировании. При положительном результате организуются выездные проверки соискателей лицензии (лицензиатов) в связи с предоставлением (переоформлением в случае добавления </w:t>
      </w:r>
      <w:r>
        <w:t xml:space="preserve">лицензиатом </w:t>
      </w:r>
      <w:r w:rsidRPr="005E08AD">
        <w:t>адресов мест осуществления деятел</w:t>
      </w:r>
      <w:r>
        <w:t xml:space="preserve">ьности и видов работ (услуг) лицензии. </w:t>
      </w:r>
    </w:p>
    <w:p w14:paraId="4326572B" w14:textId="77777777" w:rsidR="00A263AA" w:rsidRPr="00013F5E" w:rsidRDefault="00A263AA" w:rsidP="00A263AA">
      <w:pPr>
        <w:pStyle w:val="Default"/>
        <w:ind w:firstLine="540"/>
        <w:jc w:val="both"/>
        <w:rPr>
          <w:color w:val="auto"/>
        </w:rPr>
      </w:pPr>
      <w:r>
        <w:rPr>
          <w:color w:val="auto"/>
        </w:rPr>
        <w:lastRenderedPageBreak/>
        <w:t xml:space="preserve">  </w:t>
      </w:r>
      <w:r w:rsidRPr="00042082">
        <w:rPr>
          <w:color w:val="auto"/>
        </w:rPr>
        <w:t>В</w:t>
      </w:r>
      <w:r>
        <w:rPr>
          <w:color w:val="auto"/>
        </w:rPr>
        <w:t xml:space="preserve"> </w:t>
      </w:r>
      <w:r w:rsidRPr="00042082">
        <w:rPr>
          <w:color w:val="auto"/>
        </w:rPr>
        <w:t>20</w:t>
      </w:r>
      <w:r>
        <w:rPr>
          <w:color w:val="auto"/>
        </w:rPr>
        <w:t>21</w:t>
      </w:r>
      <w:r w:rsidRPr="00042082">
        <w:rPr>
          <w:color w:val="auto"/>
        </w:rPr>
        <w:t xml:space="preserve"> году отделом </w:t>
      </w:r>
      <w:r>
        <w:rPr>
          <w:color w:val="auto"/>
        </w:rPr>
        <w:t xml:space="preserve">по </w:t>
      </w:r>
      <w:r w:rsidRPr="00042082">
        <w:rPr>
          <w:color w:val="auto"/>
        </w:rPr>
        <w:t>лицензировани</w:t>
      </w:r>
      <w:r>
        <w:rPr>
          <w:color w:val="auto"/>
        </w:rPr>
        <w:t>ю фармацевтической и медицинской деятельности</w:t>
      </w:r>
      <w:r w:rsidRPr="00042082">
        <w:rPr>
          <w:color w:val="auto"/>
        </w:rPr>
        <w:t xml:space="preserve"> </w:t>
      </w:r>
      <w:r w:rsidRPr="00627912">
        <w:rPr>
          <w:color w:val="auto"/>
        </w:rPr>
        <w:t xml:space="preserve">принято 91 заявление, из них: о предоставлении лицензии на осуществление фармацевтической </w:t>
      </w:r>
      <w:r w:rsidRPr="00627912">
        <w:t xml:space="preserve">деятельности </w:t>
      </w:r>
      <w:r w:rsidRPr="00627912">
        <w:rPr>
          <w:color w:val="auto"/>
        </w:rPr>
        <w:t xml:space="preserve">– 8; о переоформлении лицензии на осуществление фармацевтической </w:t>
      </w:r>
      <w:r w:rsidRPr="00627912">
        <w:t xml:space="preserve">деятельности </w:t>
      </w:r>
      <w:r w:rsidRPr="00627912">
        <w:rPr>
          <w:color w:val="auto"/>
        </w:rPr>
        <w:t xml:space="preserve">– 78; о прекращении лицензии на осуществление фармацевтической </w:t>
      </w:r>
      <w:r w:rsidRPr="00627912">
        <w:t>деятельности – 5.</w:t>
      </w:r>
    </w:p>
    <w:p w14:paraId="30EAD275" w14:textId="77777777" w:rsidR="00A263AA" w:rsidRPr="00013F5E" w:rsidRDefault="00A263AA" w:rsidP="00A263AA">
      <w:pPr>
        <w:pStyle w:val="Default"/>
        <w:ind w:firstLine="708"/>
        <w:jc w:val="both"/>
        <w:rPr>
          <w:color w:val="auto"/>
        </w:rPr>
      </w:pPr>
      <w:r w:rsidRPr="00013F5E">
        <w:rPr>
          <w:color w:val="auto"/>
        </w:rPr>
        <w:t>В ходе лицензирования</w:t>
      </w:r>
      <w:r>
        <w:rPr>
          <w:color w:val="auto"/>
        </w:rPr>
        <w:t xml:space="preserve"> </w:t>
      </w:r>
      <w:bookmarkStart w:id="2" w:name="_Hlk94623089"/>
      <w:r>
        <w:t xml:space="preserve">фармацевтической </w:t>
      </w:r>
      <w:bookmarkEnd w:id="2"/>
      <w:r w:rsidRPr="00013F5E">
        <w:rPr>
          <w:color w:val="auto"/>
        </w:rPr>
        <w:t xml:space="preserve">деятельности проведено </w:t>
      </w:r>
      <w:r w:rsidRPr="00627912">
        <w:rPr>
          <w:color w:val="auto"/>
        </w:rPr>
        <w:t>90 документарных проверок, из них: при предоставлении лицензии – 8; при переоформлении лицензий -77; при прекращении лицензии - 5.</w:t>
      </w:r>
      <w:r w:rsidRPr="00013F5E">
        <w:rPr>
          <w:color w:val="auto"/>
        </w:rPr>
        <w:t xml:space="preserve"> </w:t>
      </w:r>
    </w:p>
    <w:p w14:paraId="3B989112" w14:textId="77777777" w:rsidR="00A263AA" w:rsidRPr="00746AB4" w:rsidRDefault="00A263AA" w:rsidP="00A263AA">
      <w:pPr>
        <w:pStyle w:val="Default"/>
        <w:ind w:firstLine="708"/>
        <w:jc w:val="both"/>
        <w:rPr>
          <w:color w:val="FF0000"/>
        </w:rPr>
      </w:pPr>
      <w:r w:rsidRPr="000458E0">
        <w:rPr>
          <w:color w:val="auto"/>
        </w:rPr>
        <w:t>Поданн</w:t>
      </w:r>
      <w:r>
        <w:rPr>
          <w:color w:val="auto"/>
        </w:rPr>
        <w:t>ое</w:t>
      </w:r>
      <w:r w:rsidRPr="000458E0">
        <w:rPr>
          <w:color w:val="auto"/>
        </w:rPr>
        <w:t xml:space="preserve"> в декабре 2021 года </w:t>
      </w:r>
      <w:r w:rsidRPr="00627912">
        <w:rPr>
          <w:color w:val="auto"/>
        </w:rPr>
        <w:t xml:space="preserve">1 заявление на переоформление лицензии по </w:t>
      </w:r>
      <w:r w:rsidRPr="00627912">
        <w:t>фармацевтической</w:t>
      </w:r>
      <w:r w:rsidRPr="00627912">
        <w:rPr>
          <w:color w:val="auto"/>
        </w:rPr>
        <w:t xml:space="preserve"> будет рассмотрено в 2022 году.</w:t>
      </w:r>
    </w:p>
    <w:p w14:paraId="67022CB7" w14:textId="77777777" w:rsidR="00A263AA" w:rsidRPr="00627912" w:rsidRDefault="00A263AA" w:rsidP="00A263AA">
      <w:pPr>
        <w:pStyle w:val="Default"/>
        <w:ind w:firstLine="708"/>
        <w:jc w:val="both"/>
        <w:rPr>
          <w:color w:val="FF0000"/>
        </w:rPr>
      </w:pPr>
      <w:r w:rsidRPr="009C5CE5">
        <w:rPr>
          <w:color w:val="auto"/>
        </w:rPr>
        <w:t xml:space="preserve">В ходе лицензирования фармацевтической деятельности проведена </w:t>
      </w:r>
      <w:r w:rsidRPr="00627912">
        <w:rPr>
          <w:color w:val="auto"/>
        </w:rPr>
        <w:t>71 выездная проверка из них: при предоставлении лицензии–8, при переоформлении лицензии – 63</w:t>
      </w:r>
      <w:r w:rsidRPr="00627912">
        <w:rPr>
          <w:color w:val="FF0000"/>
        </w:rPr>
        <w:t xml:space="preserve">;  </w:t>
      </w:r>
    </w:p>
    <w:p w14:paraId="597A45C4" w14:textId="77777777" w:rsidR="00A263AA" w:rsidRPr="00627912" w:rsidRDefault="00A263AA" w:rsidP="00A263AA">
      <w:pPr>
        <w:tabs>
          <w:tab w:val="left" w:pos="8460"/>
        </w:tabs>
        <w:autoSpaceDE w:val="0"/>
        <w:autoSpaceDN w:val="0"/>
        <w:adjustRightInd w:val="0"/>
        <w:ind w:firstLine="540"/>
        <w:jc w:val="both"/>
      </w:pPr>
      <w:r w:rsidRPr="00627912">
        <w:t xml:space="preserve">Министерством здравоохранения за 2021 год: предоставлено 8 лицензий на осуществление фармацевтической деятельности, переоформлено 78 лицензий на осуществление фармацевтической деятельности, прекращено действие 12 лицензий на фармацевтическую деятельность, из них: 5 - по заявлению лицензиатов и 7 – по причине ликвидации юридического лица, прекращением физическими лицами деятельности в качестве индивидуальных предпринимателей.  </w:t>
      </w:r>
    </w:p>
    <w:p w14:paraId="42D34F83" w14:textId="77777777" w:rsidR="00A263AA" w:rsidRDefault="00A263AA" w:rsidP="00A263AA">
      <w:pPr>
        <w:autoSpaceDE w:val="0"/>
        <w:autoSpaceDN w:val="0"/>
        <w:adjustRightInd w:val="0"/>
        <w:ind w:firstLine="540"/>
        <w:jc w:val="both"/>
        <w:outlineLvl w:val="1"/>
      </w:pPr>
      <w:r w:rsidRPr="00627912">
        <w:t>В связи со вступлением в действие 03.10.2016 г. федерального</w:t>
      </w:r>
      <w:r w:rsidRPr="00226003">
        <w:t xml:space="preserve"> закона от 05.04.2016 N 93-ФЗ «О внесении изменений в статьи 14 и 15 Федерального закона «Об основах охраны здоровья граждан в Российской Федерации» министерство здравоохранения Калужской области утратило функции по лицензионному контролю при осуществлении фармацевтической деятельности. Постановлением Губернатора Калужской области от 07.09.2016 № 375 внесены соответствующие изменения в Постановление Губернатора Калужской области от 12.04.2004 N 268 «О министерстве здравоохранения Калужской области» (вместе с «Положением о министерстве здравоохранения Калужской области»).</w:t>
      </w:r>
      <w:r w:rsidRPr="00E9564A">
        <w:t xml:space="preserve"> </w:t>
      </w:r>
    </w:p>
    <w:p w14:paraId="3F9E303A" w14:textId="77777777" w:rsidR="00A263AA" w:rsidRDefault="00A263AA" w:rsidP="00A263AA">
      <w:pPr>
        <w:autoSpaceDE w:val="0"/>
        <w:autoSpaceDN w:val="0"/>
        <w:adjustRightInd w:val="0"/>
        <w:ind w:firstLine="540"/>
        <w:jc w:val="both"/>
        <w:outlineLvl w:val="1"/>
        <w:rPr>
          <w:rFonts w:eastAsia="Calibri"/>
          <w:b/>
          <w:bCs/>
          <w:sz w:val="27"/>
          <w:szCs w:val="27"/>
        </w:rPr>
      </w:pPr>
      <w:r>
        <w:rPr>
          <w:rFonts w:eastAsia="Calibri"/>
        </w:rPr>
        <w:t>Уполномоченные органы исполнительной власти субъектов Российской Федерации при лицензировании фармацевтической деятельности осуществляют лицензионный контроль в отношении соискателей лицензий и лицензиатов, представивших заявления о переоформлении лицензий.</w:t>
      </w:r>
    </w:p>
    <w:p w14:paraId="32AD0088" w14:textId="77777777" w:rsidR="00A263AA" w:rsidRDefault="00A263AA" w:rsidP="00A263AA">
      <w:pPr>
        <w:widowControl w:val="0"/>
        <w:autoSpaceDE w:val="0"/>
        <w:autoSpaceDN w:val="0"/>
        <w:adjustRightInd w:val="0"/>
        <w:ind w:left="72" w:firstLine="468"/>
        <w:jc w:val="both"/>
        <w:rPr>
          <w:color w:val="FF0000"/>
        </w:rPr>
      </w:pPr>
      <w:r>
        <w:t xml:space="preserve">В соответствии с переданными полномочиями сотрудники отдела консультируют соискателей лицензий и лицензиатов по вопросам лицензирования, осуществляют прием, регистрацию, учет и рассмотрение поступивших на лицензирование документов, проводят проверку полноты и достоверности представленных сведений о соискателе лицензии (лицензиате), проводят проверки соответствия соискателя лицензии лицензионным требованиям, проводят проверки соответствия лицензиатов лицензионным требованиям в случае переоформления лицензии с добавлением нового адреса места осуществления деятельности и в случае добавления новых видов работ (услуг), осуществляют подготовку проектов решений и приказов руководителя лицензирующего органа по вопросам лицензирования, уведомляют соискателей лицензий, лицензиатов о принятых решениях по их заявлениям и других решениях лицензирующего органа в соответствии с законодательством, готовят проекты ответов на запросы органов государственной власти, государственных контрольных и надзорных органов, других организаций и граждан и контролируют сроки их исполнения, готовят отчеты о своей работе, принимают участие в составлении отчетности и подготовке аналитических материалов в сфере деятельности отдела, готовят информацию для размещения в сети Интернет посредством информационных систем. </w:t>
      </w:r>
    </w:p>
    <w:p w14:paraId="31FA249E" w14:textId="77777777" w:rsidR="00A263AA" w:rsidRPr="006D3FD1" w:rsidRDefault="00A263AA" w:rsidP="00A263AA">
      <w:pPr>
        <w:autoSpaceDE w:val="0"/>
        <w:autoSpaceDN w:val="0"/>
        <w:adjustRightInd w:val="0"/>
        <w:ind w:firstLine="540"/>
        <w:jc w:val="both"/>
        <w:rPr>
          <w:b/>
        </w:rPr>
      </w:pPr>
      <w:r w:rsidRPr="006D3FD1">
        <w:rPr>
          <w:b/>
          <w:u w:val="single"/>
        </w:rPr>
        <w:t>Сведения о проведении совместных проверок с органами государственного контроля (надзора)</w:t>
      </w:r>
    </w:p>
    <w:p w14:paraId="645B989D" w14:textId="77777777" w:rsidR="00A263AA" w:rsidRDefault="00A263AA" w:rsidP="00A263AA">
      <w:pPr>
        <w:autoSpaceDE w:val="0"/>
        <w:autoSpaceDN w:val="0"/>
        <w:adjustRightInd w:val="0"/>
        <w:ind w:firstLine="540"/>
        <w:jc w:val="both"/>
      </w:pPr>
      <w:r w:rsidRPr="000B3276">
        <w:t>Приказы о проведении совместных проверок с другими органами государственного контроля министерством не издавались ввиду отсутствия нормативных правовых актов о порядке их проведения.</w:t>
      </w:r>
    </w:p>
    <w:p w14:paraId="28FAA95C" w14:textId="77777777" w:rsidR="00A263AA" w:rsidRPr="006D3FD1" w:rsidRDefault="00A263AA" w:rsidP="00A263AA">
      <w:pPr>
        <w:autoSpaceDE w:val="0"/>
        <w:autoSpaceDN w:val="0"/>
        <w:adjustRightInd w:val="0"/>
        <w:ind w:firstLine="540"/>
        <w:jc w:val="both"/>
        <w:rPr>
          <w:b/>
        </w:rPr>
      </w:pPr>
      <w:r w:rsidRPr="006D3FD1">
        <w:rPr>
          <w:b/>
        </w:rPr>
        <w:lastRenderedPageBreak/>
        <w:t>е) сведения о квалификации работников, осуществляющих лицензирование конкретных видов деятельности, и о мероприятиях по повышению квалификации этих работников;</w:t>
      </w:r>
    </w:p>
    <w:p w14:paraId="333FFE99" w14:textId="77777777" w:rsidR="00A263AA" w:rsidRPr="00627912" w:rsidRDefault="00A263AA" w:rsidP="00A263AA">
      <w:pPr>
        <w:autoSpaceDE w:val="0"/>
        <w:autoSpaceDN w:val="0"/>
        <w:adjustRightInd w:val="0"/>
        <w:ind w:firstLine="540"/>
        <w:jc w:val="both"/>
      </w:pPr>
      <w:r>
        <w:t>Н</w:t>
      </w:r>
      <w:r w:rsidRPr="00E8345B">
        <w:t>ачальник отдела по лицензированию</w:t>
      </w:r>
      <w:r>
        <w:t xml:space="preserve"> и главный</w:t>
      </w:r>
      <w:r w:rsidRPr="00E8345B">
        <w:t xml:space="preserve"> специалист</w:t>
      </w:r>
      <w:r>
        <w:t xml:space="preserve"> </w:t>
      </w:r>
      <w:r w:rsidRPr="00E8345B">
        <w:t>выполняющи</w:t>
      </w:r>
      <w:r>
        <w:t>е</w:t>
      </w:r>
      <w:r w:rsidRPr="00E8345B">
        <w:t xml:space="preserve"> функции по лицензированию </w:t>
      </w:r>
      <w:r w:rsidRPr="00931FCD">
        <w:t>фармацевтической деятельности</w:t>
      </w:r>
      <w:r w:rsidRPr="00F623BC">
        <w:t xml:space="preserve"> </w:t>
      </w:r>
      <w:r w:rsidRPr="00E8345B">
        <w:t>имеют высшее фармацевтическое образование, 1 раз в 5 лет повышают свою квалификацию по специальности «</w:t>
      </w:r>
      <w:r>
        <w:t>Управление и э</w:t>
      </w:r>
      <w:r w:rsidRPr="00E8345B">
        <w:t>к</w:t>
      </w:r>
      <w:r>
        <w:t xml:space="preserve">ономика фармации», </w:t>
      </w:r>
      <w:r w:rsidRPr="00E8345B">
        <w:t>повыша</w:t>
      </w:r>
      <w:r>
        <w:t>ю</w:t>
      </w:r>
      <w:r w:rsidRPr="00E8345B">
        <w:t>т свою квалификацию</w:t>
      </w:r>
      <w:r w:rsidRPr="0017114D">
        <w:rPr>
          <w:color w:val="FF0000"/>
        </w:rPr>
        <w:t xml:space="preserve"> </w:t>
      </w:r>
      <w:r w:rsidRPr="005E08AD">
        <w:t>в установленном порядке по государственной гражданской службе</w:t>
      </w:r>
      <w:r>
        <w:t>,</w:t>
      </w:r>
      <w:r w:rsidRPr="0017114D">
        <w:rPr>
          <w:color w:val="FF0000"/>
        </w:rPr>
        <w:t xml:space="preserve"> </w:t>
      </w:r>
      <w:r w:rsidRPr="00627912">
        <w:t>ведущий специалист отдела имеет высшее психологическое образование и повышает свою квалификацию в установленном порядке по государственной гражданской службе.</w:t>
      </w:r>
    </w:p>
    <w:p w14:paraId="3916F4B2" w14:textId="77777777" w:rsidR="00A263AA" w:rsidRDefault="00A263AA" w:rsidP="00A263AA">
      <w:pPr>
        <w:autoSpaceDE w:val="0"/>
        <w:autoSpaceDN w:val="0"/>
        <w:adjustRightInd w:val="0"/>
        <w:ind w:firstLine="540"/>
        <w:jc w:val="both"/>
        <w:rPr>
          <w:b/>
        </w:rPr>
      </w:pPr>
      <w:r w:rsidRPr="006D3FD1">
        <w:rPr>
          <w:b/>
        </w:rPr>
        <w:t>ж)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14:paraId="40B62496" w14:textId="77777777" w:rsidR="00A263AA" w:rsidRDefault="00A263AA" w:rsidP="00A263AA">
      <w:pPr>
        <w:autoSpaceDE w:val="0"/>
        <w:autoSpaceDN w:val="0"/>
        <w:adjustRightInd w:val="0"/>
        <w:ind w:firstLine="540"/>
        <w:jc w:val="both"/>
        <w:rPr>
          <w:b/>
        </w:rPr>
      </w:pPr>
      <w:r>
        <w:t>М</w:t>
      </w:r>
      <w:r w:rsidRPr="005E08AD">
        <w:t xml:space="preserve">инистерством </w:t>
      </w:r>
      <w:r>
        <w:t xml:space="preserve">здравоохранения </w:t>
      </w:r>
      <w:r w:rsidRPr="005E08AD">
        <w:t>систематически проводится методическая работа с лицензиатами посредством:</w:t>
      </w:r>
      <w:r>
        <w:rPr>
          <w:b/>
        </w:rPr>
        <w:t xml:space="preserve"> </w:t>
      </w:r>
    </w:p>
    <w:p w14:paraId="26A652C1" w14:textId="77777777" w:rsidR="00A263AA" w:rsidRPr="00E8345B" w:rsidRDefault="00A263AA" w:rsidP="00A263AA">
      <w:pPr>
        <w:autoSpaceDE w:val="0"/>
        <w:autoSpaceDN w:val="0"/>
        <w:adjustRightInd w:val="0"/>
        <w:ind w:firstLine="540"/>
        <w:jc w:val="both"/>
      </w:pPr>
      <w:r w:rsidRPr="00F623BC">
        <w:rPr>
          <w:sz w:val="22"/>
          <w:szCs w:val="22"/>
        </w:rPr>
        <w:t xml:space="preserve">- </w:t>
      </w:r>
      <w:r w:rsidRPr="00E8345B">
        <w:t>электронной рассылки оперативной информации: об изменениях законодательства Российской Федерации о лицензировании, изменении лицензионных требований, в т.ч. нормативных правовых актах, регламентирующих осуществ</w:t>
      </w:r>
      <w:r>
        <w:t>ление данного вида деятельности, информационных писем, подготовленных отделом по лицензированию фармацевтической и медицинской деятельности,</w:t>
      </w:r>
      <w:r w:rsidRPr="00E8345B">
        <w:t xml:space="preserve"> </w:t>
      </w:r>
    </w:p>
    <w:p w14:paraId="55C17BCC" w14:textId="77777777" w:rsidR="00A263AA" w:rsidRPr="00E8345B" w:rsidRDefault="00A263AA" w:rsidP="00A263AA">
      <w:pPr>
        <w:autoSpaceDE w:val="0"/>
        <w:autoSpaceDN w:val="0"/>
        <w:adjustRightInd w:val="0"/>
        <w:ind w:firstLine="540"/>
        <w:jc w:val="both"/>
      </w:pPr>
      <w:r w:rsidRPr="00E8345B">
        <w:t>- путем оперативного размещения на официальном сайте министерства</w:t>
      </w:r>
      <w:r>
        <w:t xml:space="preserve"> </w:t>
      </w:r>
      <w:r w:rsidRPr="008350F2">
        <w:t>здравоохранения</w:t>
      </w:r>
      <w:r w:rsidRPr="00E8345B">
        <w:t xml:space="preserve"> </w:t>
      </w:r>
      <w:hyperlink r:id="rId8" w:history="1">
        <w:r w:rsidRPr="00E8345B">
          <w:rPr>
            <w:rStyle w:val="ab"/>
          </w:rPr>
          <w:t>http://www.admoblkaluga.ru/sub/health/licenz/</w:t>
        </w:r>
      </w:hyperlink>
      <w:r>
        <w:t xml:space="preserve"> </w:t>
      </w:r>
      <w:r w:rsidRPr="00E8345B">
        <w:t>законодательства, регламентирующего лицензиров</w:t>
      </w:r>
      <w:r>
        <w:t xml:space="preserve">ание, осуществление </w:t>
      </w:r>
      <w:r w:rsidRPr="00E8345B">
        <w:t>деятельности</w:t>
      </w:r>
      <w:r>
        <w:t xml:space="preserve">, </w:t>
      </w:r>
      <w:r w:rsidRPr="00E8345B">
        <w:t xml:space="preserve">контроль за соблюдением лицензионных требований, порядок </w:t>
      </w:r>
      <w:r>
        <w:t>оказания государственных услуг,</w:t>
      </w:r>
      <w:r w:rsidRPr="00E8345B">
        <w:t xml:space="preserve"> нормативных правовых актов, конкретизирующих лицензионные требования, информации о проведенном контроле и его результатах;</w:t>
      </w:r>
    </w:p>
    <w:p w14:paraId="7AB71819" w14:textId="77777777" w:rsidR="00A263AA" w:rsidRDefault="00A263AA" w:rsidP="00A263AA">
      <w:pPr>
        <w:autoSpaceDE w:val="0"/>
        <w:autoSpaceDN w:val="0"/>
        <w:adjustRightInd w:val="0"/>
        <w:ind w:firstLine="540"/>
        <w:jc w:val="both"/>
      </w:pPr>
      <w:r w:rsidRPr="00E8345B">
        <w:t xml:space="preserve"> - </w:t>
      </w:r>
      <w:r w:rsidRPr="005E08AD">
        <w:t xml:space="preserve">консультирования </w:t>
      </w:r>
      <w:r w:rsidRPr="00097B44">
        <w:t xml:space="preserve">по электронной почте, </w:t>
      </w:r>
      <w:r w:rsidRPr="005E08AD">
        <w:t>по телефону</w:t>
      </w:r>
      <w:r>
        <w:t xml:space="preserve"> </w:t>
      </w:r>
      <w:r w:rsidRPr="004D7FF1">
        <w:t xml:space="preserve">(телефоны указаны на сайте министерства </w:t>
      </w:r>
      <w:r>
        <w:t xml:space="preserve">здравоохранения </w:t>
      </w:r>
      <w:r w:rsidRPr="004D7FF1">
        <w:t>области и информационном стенде для соискателей лицензии и лицензиатов)</w:t>
      </w:r>
      <w:r w:rsidRPr="005E08AD">
        <w:t xml:space="preserve"> и при непосредственном обращении в министерство.</w:t>
      </w:r>
    </w:p>
    <w:p w14:paraId="1F00C03F" w14:textId="77777777" w:rsidR="00227134" w:rsidRPr="001C62EA" w:rsidRDefault="00227134">
      <w:pPr>
        <w:rPr>
          <w:sz w:val="32"/>
          <w:szCs w:val="32"/>
        </w:rPr>
      </w:pPr>
    </w:p>
    <w:p w14:paraId="7ADBF465"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14:paraId="633BB9C8" w14:textId="77777777" w:rsidR="00227134" w:rsidRPr="001C62EA" w:rsidRDefault="00227134">
      <w:pPr>
        <w:rPr>
          <w:sz w:val="32"/>
          <w:szCs w:val="32"/>
        </w:rPr>
      </w:pPr>
    </w:p>
    <w:p w14:paraId="05530780" w14:textId="77777777" w:rsidR="00227134" w:rsidRPr="001C62EA" w:rsidRDefault="00227134">
      <w:pPr>
        <w:rPr>
          <w:sz w:val="32"/>
          <w:szCs w:val="32"/>
        </w:rPr>
      </w:pPr>
    </w:p>
    <w:p w14:paraId="5D5364CF" w14:textId="77777777" w:rsidR="00227134" w:rsidRDefault="00227134">
      <w:pPr>
        <w:rPr>
          <w:sz w:val="32"/>
          <w:szCs w:val="32"/>
        </w:rPr>
      </w:pPr>
    </w:p>
    <w:p w14:paraId="634F3296"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14:paraId="70549914" w14:textId="77777777" w:rsidR="00227134" w:rsidRPr="001C62EA" w:rsidRDefault="00227134">
      <w:pPr>
        <w:rPr>
          <w:sz w:val="32"/>
          <w:szCs w:val="32"/>
        </w:rPr>
      </w:pPr>
    </w:p>
    <w:p w14:paraId="2A0D74A8" w14:textId="77777777" w:rsidR="00A263AA" w:rsidRPr="00051148" w:rsidRDefault="00A263AA" w:rsidP="00A263AA">
      <w:pPr>
        <w:ind w:firstLine="539"/>
        <w:jc w:val="center"/>
        <w:rPr>
          <w:color w:val="FF6600"/>
          <w:sz w:val="20"/>
          <w:szCs w:val="20"/>
        </w:rPr>
      </w:pPr>
      <w:r w:rsidRPr="00051148">
        <w:rPr>
          <w:color w:val="FF6600"/>
          <w:sz w:val="20"/>
          <w:szCs w:val="20"/>
        </w:rPr>
        <w:t>согласно Правилам подготовки и представления докладов о лицензировании отдельных видов деятельности, утвержденным Постановлением Правительства РФ от 05.05.2012 № 467</w:t>
      </w:r>
    </w:p>
    <w:p w14:paraId="61412D44" w14:textId="77777777" w:rsidR="00A263AA" w:rsidRDefault="00A263AA" w:rsidP="00A263AA">
      <w:pPr>
        <w:ind w:firstLine="539"/>
        <w:jc w:val="center"/>
        <w:rPr>
          <w:color w:val="FF6600"/>
          <w:sz w:val="20"/>
          <w:szCs w:val="20"/>
        </w:rPr>
      </w:pPr>
      <w:r w:rsidRPr="00051148">
        <w:rPr>
          <w:color w:val="FF6600"/>
          <w:sz w:val="20"/>
          <w:szCs w:val="20"/>
        </w:rPr>
        <w:t xml:space="preserve"> (далее в настоящем разделе - Правила)</w:t>
      </w:r>
    </w:p>
    <w:p w14:paraId="1C727A8C" w14:textId="77777777" w:rsidR="00A263AA" w:rsidRDefault="00A263AA" w:rsidP="00A263AA">
      <w:pPr>
        <w:ind w:firstLine="539"/>
        <w:jc w:val="center"/>
        <w:rPr>
          <w:color w:val="FF6600"/>
          <w:sz w:val="20"/>
          <w:szCs w:val="20"/>
        </w:rPr>
      </w:pPr>
    </w:p>
    <w:p w14:paraId="6ED41576" w14:textId="77777777" w:rsidR="00A263AA" w:rsidRPr="00E263F7" w:rsidRDefault="00A263AA" w:rsidP="00A263AA">
      <w:pPr>
        <w:ind w:firstLine="539"/>
        <w:jc w:val="both"/>
        <w:rPr>
          <w:u w:val="single"/>
        </w:rPr>
      </w:pPr>
      <w:r w:rsidRPr="007E5FED">
        <w:t>1.</w:t>
      </w:r>
      <w:r w:rsidRPr="00E263F7">
        <w:t xml:space="preserve"> </w:t>
      </w:r>
      <w:r w:rsidRPr="00E263F7">
        <w:rPr>
          <w:u w:val="single"/>
        </w:rPr>
        <w:t>Данные анализа и оценки</w:t>
      </w:r>
      <w:r w:rsidRPr="00E263F7">
        <w:rPr>
          <w:b/>
          <w:u w:val="single"/>
        </w:rPr>
        <w:t xml:space="preserve"> </w:t>
      </w:r>
      <w:r w:rsidRPr="00E263F7">
        <w:rPr>
          <w:u w:val="single"/>
        </w:rPr>
        <w:t xml:space="preserve">показателей эффективности лицензирования </w:t>
      </w:r>
      <w:r w:rsidRPr="00F63D35">
        <w:rPr>
          <w:u w:val="single"/>
        </w:rPr>
        <w:t xml:space="preserve">фармацевтической </w:t>
      </w:r>
      <w:r w:rsidRPr="00E263F7">
        <w:rPr>
          <w:u w:val="single"/>
        </w:rPr>
        <w:t xml:space="preserve">деятельности </w:t>
      </w:r>
      <w:r w:rsidRPr="00E263F7">
        <w:rPr>
          <w:i/>
          <w:u w:val="single"/>
        </w:rPr>
        <w:t>согласно п. 4 приложения 1 к Правилам</w:t>
      </w:r>
      <w:r w:rsidRPr="00E263F7">
        <w:rPr>
          <w:u w:val="single"/>
        </w:rPr>
        <w:t>.</w:t>
      </w:r>
    </w:p>
    <w:p w14:paraId="59485071" w14:textId="77777777" w:rsidR="00A263AA" w:rsidRPr="00F63D35" w:rsidRDefault="00A263AA" w:rsidP="00A263AA">
      <w:pPr>
        <w:autoSpaceDE w:val="0"/>
        <w:autoSpaceDN w:val="0"/>
        <w:adjustRightInd w:val="0"/>
        <w:ind w:firstLine="540"/>
        <w:jc w:val="both"/>
        <w:rPr>
          <w:i/>
        </w:rPr>
      </w:pPr>
      <w:r w:rsidRPr="00E263F7">
        <w:t>1.1.</w:t>
      </w:r>
      <w:r>
        <w:t xml:space="preserve"> </w:t>
      </w:r>
      <w:r w:rsidRPr="00E263F7">
        <w:t xml:space="preserve">Наиболее распространенные причины отказа в предоставлении лицензии, переоформлении лицензии: </w:t>
      </w:r>
      <w:r w:rsidRPr="00F63D35">
        <w:rPr>
          <w:i/>
        </w:rPr>
        <w:t>отказов в предоставлении лицензии, переоформлении лицензии в 20</w:t>
      </w:r>
      <w:r>
        <w:rPr>
          <w:i/>
        </w:rPr>
        <w:t>20</w:t>
      </w:r>
      <w:r w:rsidRPr="00F63D35">
        <w:rPr>
          <w:i/>
        </w:rPr>
        <w:t xml:space="preserve"> -</w:t>
      </w:r>
      <w:r w:rsidRPr="007B3D9D">
        <w:rPr>
          <w:i/>
        </w:rPr>
        <w:t>202</w:t>
      </w:r>
      <w:r>
        <w:rPr>
          <w:i/>
        </w:rPr>
        <w:t>1</w:t>
      </w:r>
      <w:r w:rsidRPr="007B3D9D">
        <w:rPr>
          <w:i/>
        </w:rPr>
        <w:t>гг.</w:t>
      </w:r>
      <w:r w:rsidRPr="00F63D35">
        <w:rPr>
          <w:i/>
        </w:rPr>
        <w:t xml:space="preserve"> не было.</w:t>
      </w:r>
    </w:p>
    <w:p w14:paraId="4642F390" w14:textId="77777777" w:rsidR="00A263AA" w:rsidRPr="000B3276" w:rsidRDefault="00A263AA" w:rsidP="00A263AA">
      <w:pPr>
        <w:autoSpaceDE w:val="0"/>
        <w:autoSpaceDN w:val="0"/>
        <w:adjustRightInd w:val="0"/>
        <w:ind w:firstLine="540"/>
        <w:jc w:val="both"/>
        <w:rPr>
          <w:i/>
        </w:rPr>
      </w:pPr>
      <w:r w:rsidRPr="00E263F7">
        <w:t>1.2.</w:t>
      </w:r>
      <w:r w:rsidRPr="00E263F7">
        <w:rPr>
          <w:b/>
        </w:rPr>
        <w:t xml:space="preserve"> </w:t>
      </w:r>
      <w:r w:rsidRPr="000B3276">
        <w:t>Наиболее распространенные нарушени</w:t>
      </w:r>
      <w:r>
        <w:t>я</w:t>
      </w:r>
      <w:r w:rsidRPr="000B3276">
        <w:t>, приведши</w:t>
      </w:r>
      <w:r>
        <w:t>е</w:t>
      </w:r>
      <w:r w:rsidRPr="000B3276">
        <w:t xml:space="preserve"> к вынесению административных наказаний, приостановлению действия лицензии и аннулированию лицензии: </w:t>
      </w:r>
      <w:r w:rsidRPr="000B3276">
        <w:rPr>
          <w:i/>
        </w:rPr>
        <w:t>приостановления и аннулирования лицензий в 20</w:t>
      </w:r>
      <w:r>
        <w:rPr>
          <w:i/>
        </w:rPr>
        <w:t>20</w:t>
      </w:r>
      <w:r w:rsidRPr="000B3276">
        <w:rPr>
          <w:i/>
        </w:rPr>
        <w:t>- 20</w:t>
      </w:r>
      <w:r>
        <w:rPr>
          <w:i/>
        </w:rPr>
        <w:t>21</w:t>
      </w:r>
      <w:r w:rsidRPr="000B3276">
        <w:rPr>
          <w:i/>
        </w:rPr>
        <w:t>г</w:t>
      </w:r>
      <w:r>
        <w:rPr>
          <w:i/>
        </w:rPr>
        <w:t>г.</w:t>
      </w:r>
      <w:r w:rsidRPr="000B3276">
        <w:rPr>
          <w:i/>
        </w:rPr>
        <w:t xml:space="preserve"> не было.</w:t>
      </w:r>
    </w:p>
    <w:p w14:paraId="1186C677" w14:textId="77777777" w:rsidR="00A263AA" w:rsidRPr="000B3276" w:rsidRDefault="00A263AA" w:rsidP="00A263AA">
      <w:pPr>
        <w:autoSpaceDE w:val="0"/>
        <w:autoSpaceDN w:val="0"/>
        <w:adjustRightInd w:val="0"/>
        <w:ind w:right="-185" w:firstLine="540"/>
        <w:jc w:val="both"/>
      </w:pPr>
      <w:r w:rsidRPr="000B3276">
        <w:t xml:space="preserve">В связи со вступлением в действие 03.10.2016 г. федерального закона от 05.04.2016 N 93-ФЗ «О внесении изменений в статьи 14 и 15 Федерального закона «Об основах охраны здоровья </w:t>
      </w:r>
      <w:r w:rsidRPr="000B3276">
        <w:lastRenderedPageBreak/>
        <w:t>граждан в Российской Федерации» министерство здравоохранения Калужской области утратило функции по лицензионному контролю.</w:t>
      </w:r>
    </w:p>
    <w:p w14:paraId="7A786CF6" w14:textId="77777777" w:rsidR="00A263AA" w:rsidRPr="000B3276" w:rsidRDefault="00A263AA" w:rsidP="00A263AA">
      <w:pPr>
        <w:autoSpaceDE w:val="0"/>
        <w:autoSpaceDN w:val="0"/>
        <w:adjustRightInd w:val="0"/>
        <w:ind w:firstLine="540"/>
        <w:jc w:val="both"/>
        <w:rPr>
          <w:i/>
        </w:rPr>
      </w:pPr>
      <w:r w:rsidRPr="000B3276">
        <w:t>1.3.</w:t>
      </w:r>
      <w:r w:rsidRPr="000B3276">
        <w:rPr>
          <w:b/>
        </w:rPr>
        <w:t xml:space="preserve"> </w:t>
      </w:r>
      <w:r w:rsidRPr="000B3276">
        <w:t xml:space="preserve">Наиболее существенные случаи причинения вреда жизни и здоровью граждан,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 </w:t>
      </w:r>
      <w:r w:rsidRPr="000B3276">
        <w:rPr>
          <w:i/>
        </w:rPr>
        <w:t>таких случаев не установлено.</w:t>
      </w:r>
    </w:p>
    <w:p w14:paraId="78F9203C" w14:textId="77777777" w:rsidR="00A263AA" w:rsidRPr="00942167" w:rsidRDefault="00A263AA" w:rsidP="00A263AA">
      <w:pPr>
        <w:autoSpaceDE w:val="0"/>
        <w:autoSpaceDN w:val="0"/>
        <w:adjustRightInd w:val="0"/>
        <w:ind w:firstLine="540"/>
        <w:jc w:val="both"/>
        <w:rPr>
          <w:i/>
        </w:rPr>
      </w:pPr>
      <w:r w:rsidRPr="000B3276">
        <w:t xml:space="preserve">1.4. Сведения об используемой лицензирующим органом системе мониторинга случаев причинения лицензиатами вреда жизни и здоровью граждан, связанных с деятельностью лицензиатов: </w:t>
      </w:r>
      <w:r w:rsidRPr="000B3276">
        <w:rPr>
          <w:i/>
        </w:rPr>
        <w:t>ввиду отсутствия указанных случаев мониторинг не ведется.</w:t>
      </w:r>
    </w:p>
    <w:p w14:paraId="08569C34" w14:textId="77777777" w:rsidR="00A263AA" w:rsidRPr="00A53654" w:rsidRDefault="00A263AA" w:rsidP="00A263AA">
      <w:pPr>
        <w:ind w:firstLine="567"/>
        <w:jc w:val="both"/>
        <w:rPr>
          <w:i/>
          <w:highlight w:val="yellow"/>
        </w:rPr>
      </w:pPr>
      <w:r w:rsidRPr="00E263F7">
        <w:t xml:space="preserve">1.5. </w:t>
      </w:r>
      <w:r w:rsidRPr="005E244B">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r w:rsidRPr="00BB7BC4">
        <w:t xml:space="preserve">): </w:t>
      </w:r>
      <w:r w:rsidRPr="000B3276">
        <w:rPr>
          <w:i/>
        </w:rPr>
        <w:t>в 20</w:t>
      </w:r>
      <w:r>
        <w:rPr>
          <w:i/>
        </w:rPr>
        <w:t>21</w:t>
      </w:r>
      <w:r w:rsidRPr="000B3276">
        <w:rPr>
          <w:i/>
        </w:rPr>
        <w:t>г. министерство не проводило мероприятия по</w:t>
      </w:r>
      <w:r w:rsidRPr="000B3276">
        <w:t xml:space="preserve"> </w:t>
      </w:r>
      <w:r w:rsidRPr="000B3276">
        <w:rPr>
          <w:i/>
        </w:rPr>
        <w:t>контролю за деятельностью лицензиатов. Случаев оспаривания в суде результатов рассмотрения заявлений соискателей лицензии (лицензи</w:t>
      </w:r>
      <w:r w:rsidRPr="000B3276">
        <w:rPr>
          <w:i/>
        </w:rPr>
        <w:t>а</w:t>
      </w:r>
      <w:r w:rsidRPr="000B3276">
        <w:rPr>
          <w:i/>
        </w:rPr>
        <w:t xml:space="preserve">тов) в </w:t>
      </w:r>
      <w:r w:rsidRPr="007B3D9D">
        <w:rPr>
          <w:i/>
        </w:rPr>
        <w:t>20</w:t>
      </w:r>
      <w:r>
        <w:rPr>
          <w:i/>
        </w:rPr>
        <w:t>20</w:t>
      </w:r>
      <w:r w:rsidRPr="007B3D9D">
        <w:rPr>
          <w:i/>
        </w:rPr>
        <w:t xml:space="preserve"> - 202</w:t>
      </w:r>
      <w:r>
        <w:rPr>
          <w:i/>
        </w:rPr>
        <w:t>1</w:t>
      </w:r>
      <w:r w:rsidRPr="007B3D9D">
        <w:rPr>
          <w:i/>
        </w:rPr>
        <w:t xml:space="preserve"> гг.</w:t>
      </w:r>
      <w:r w:rsidRPr="000B3276">
        <w:rPr>
          <w:i/>
        </w:rPr>
        <w:t xml:space="preserve"> не было.</w:t>
      </w:r>
    </w:p>
    <w:p w14:paraId="7DB33AD9" w14:textId="77777777" w:rsidR="00A263AA" w:rsidRDefault="00A263AA" w:rsidP="00A263AA">
      <w:pPr>
        <w:autoSpaceDE w:val="0"/>
        <w:autoSpaceDN w:val="0"/>
        <w:adjustRightInd w:val="0"/>
        <w:ind w:firstLine="540"/>
        <w:jc w:val="both"/>
      </w:pPr>
    </w:p>
    <w:p w14:paraId="5FE58D5E" w14:textId="77777777" w:rsidR="00A263AA" w:rsidRDefault="00A263AA" w:rsidP="00A263AA">
      <w:pPr>
        <w:autoSpaceDE w:val="0"/>
        <w:autoSpaceDN w:val="0"/>
        <w:adjustRightInd w:val="0"/>
        <w:ind w:firstLine="540"/>
        <w:jc w:val="both"/>
        <w:rPr>
          <w:sz w:val="22"/>
          <w:szCs w:val="22"/>
          <w:u w:val="single"/>
        </w:rPr>
      </w:pPr>
      <w:r w:rsidRPr="007E5FED">
        <w:t>2.</w:t>
      </w:r>
      <w:r w:rsidRPr="002E5C41">
        <w:rPr>
          <w:sz w:val="22"/>
          <w:szCs w:val="22"/>
        </w:rPr>
        <w:t xml:space="preserve"> </w:t>
      </w:r>
      <w:r w:rsidRPr="00E263F7">
        <w:rPr>
          <w:u w:val="single"/>
        </w:rPr>
        <w:t xml:space="preserve">Анализ и оценка </w:t>
      </w:r>
      <w:r w:rsidRPr="00BB7BC4">
        <w:rPr>
          <w:u w:val="single"/>
        </w:rPr>
        <w:t>показателей</w:t>
      </w:r>
      <w:r w:rsidRPr="00E263F7">
        <w:rPr>
          <w:u w:val="single"/>
        </w:rPr>
        <w:t xml:space="preserve"> эффективности лицензирования (далее - данные мониторинга) согласно п. </w:t>
      </w:r>
      <w:smartTag w:uri="urn:schemas-microsoft-com:office:smarttags" w:element="PersonName">
        <w:smartTagPr>
          <w:attr w:name="ProductID" w:val="5 Приложения 2 к"/>
        </w:smartTagPr>
        <w:r w:rsidRPr="00E263F7">
          <w:rPr>
            <w:u w:val="single"/>
          </w:rPr>
          <w:t>5 Приложения 2 к</w:t>
        </w:r>
      </w:smartTag>
      <w:r w:rsidRPr="00E263F7">
        <w:rPr>
          <w:u w:val="single"/>
        </w:rPr>
        <w:t xml:space="preserve"> Правилам</w:t>
      </w:r>
      <w:r w:rsidRPr="0049446E">
        <w:rPr>
          <w:sz w:val="22"/>
          <w:szCs w:val="22"/>
          <w:u w:val="single"/>
        </w:rPr>
        <w:t>.</w:t>
      </w:r>
    </w:p>
    <w:p w14:paraId="046D36C7" w14:textId="77777777" w:rsidR="00A263AA" w:rsidRPr="002959FC" w:rsidRDefault="00A263AA" w:rsidP="00A263AA">
      <w:pPr>
        <w:autoSpaceDE w:val="0"/>
        <w:autoSpaceDN w:val="0"/>
        <w:adjustRightInd w:val="0"/>
        <w:ind w:firstLine="540"/>
        <w:jc w:val="center"/>
        <w:rPr>
          <w:color w:val="FF6600"/>
          <w:sz w:val="18"/>
          <w:szCs w:val="18"/>
          <w:u w:val="single"/>
        </w:rPr>
      </w:pPr>
      <w:r w:rsidRPr="00695967">
        <w:rPr>
          <w:color w:val="FF6600"/>
          <w:sz w:val="20"/>
          <w:szCs w:val="20"/>
          <w:u w:val="single"/>
        </w:rPr>
        <w:t>(</w:t>
      </w:r>
      <w:r w:rsidRPr="002959FC">
        <w:rPr>
          <w:color w:val="FF6600"/>
          <w:sz w:val="18"/>
          <w:szCs w:val="18"/>
          <w:u w:val="single"/>
        </w:rPr>
        <w:t>значения показателей за отчетный год анализируются в сравнении со значениями показателей за предшествующий год</w:t>
      </w:r>
      <w:r w:rsidRPr="002959FC">
        <w:rPr>
          <w:color w:val="FF6600"/>
          <w:sz w:val="18"/>
          <w:szCs w:val="18"/>
        </w:rPr>
        <w:t xml:space="preserve">, </w:t>
      </w:r>
      <w:r w:rsidRPr="002959FC">
        <w:rPr>
          <w:color w:val="FF6600"/>
          <w:sz w:val="18"/>
          <w:szCs w:val="18"/>
          <w:u w:val="single"/>
        </w:rPr>
        <w:t>и в случае существенного (более 10 процентов) отклонения этих значений в отчетном году указываются причины таких отклонений)</w:t>
      </w:r>
    </w:p>
    <w:p w14:paraId="6CDB2BC9" w14:textId="77777777" w:rsidR="00A263AA" w:rsidRDefault="00A263AA" w:rsidP="00A263AA">
      <w:pPr>
        <w:autoSpaceDE w:val="0"/>
        <w:autoSpaceDN w:val="0"/>
        <w:adjustRightInd w:val="0"/>
        <w:ind w:firstLine="540"/>
        <w:jc w:val="right"/>
        <w:rPr>
          <w:rFonts w:ascii="Arial CYR" w:hAnsi="Arial CYR" w:cs="Arial CYR"/>
          <w:b/>
          <w:bCs/>
          <w:color w:val="0000FF"/>
          <w:sz w:val="16"/>
          <w:szCs w:val="16"/>
        </w:rPr>
      </w:pPr>
    </w:p>
    <w:p w14:paraId="2F2BA067" w14:textId="77777777" w:rsidR="00A263AA" w:rsidRDefault="00A263AA" w:rsidP="00A263AA">
      <w:pPr>
        <w:autoSpaceDE w:val="0"/>
        <w:autoSpaceDN w:val="0"/>
        <w:adjustRightInd w:val="0"/>
        <w:ind w:firstLine="540"/>
        <w:jc w:val="right"/>
        <w:rPr>
          <w:rFonts w:ascii="Arial CYR" w:hAnsi="Arial CYR" w:cs="Arial CYR"/>
          <w:b/>
          <w:bCs/>
          <w:color w:val="0000FF"/>
          <w:sz w:val="16"/>
          <w:szCs w:val="16"/>
        </w:rPr>
      </w:pPr>
      <w:r w:rsidRPr="00C12993">
        <w:rPr>
          <w:rFonts w:ascii="Arial CYR" w:hAnsi="Arial CYR" w:cs="Arial CYR"/>
          <w:b/>
          <w:bCs/>
          <w:color w:val="0000FF"/>
          <w:sz w:val="16"/>
          <w:szCs w:val="16"/>
        </w:rPr>
        <w:t>Т</w:t>
      </w:r>
    </w:p>
    <w:p w14:paraId="37B555ED" w14:textId="77777777" w:rsidR="00A263AA" w:rsidRDefault="00A263AA" w:rsidP="00A263AA">
      <w:pPr>
        <w:autoSpaceDE w:val="0"/>
        <w:autoSpaceDN w:val="0"/>
        <w:adjustRightInd w:val="0"/>
        <w:ind w:firstLine="540"/>
        <w:jc w:val="right"/>
        <w:rPr>
          <w:sz w:val="22"/>
          <w:szCs w:val="22"/>
          <w:u w:val="single"/>
        </w:rPr>
      </w:pPr>
      <w:proofErr w:type="spellStart"/>
      <w:r w:rsidRPr="00C12993">
        <w:rPr>
          <w:rFonts w:ascii="Arial CYR" w:hAnsi="Arial CYR" w:cs="Arial CYR"/>
          <w:b/>
          <w:bCs/>
          <w:color w:val="0000FF"/>
          <w:sz w:val="16"/>
          <w:szCs w:val="16"/>
        </w:rPr>
        <w:t>аб</w:t>
      </w:r>
      <w:proofErr w:type="spellEnd"/>
      <w:r w:rsidRPr="00C12993">
        <w:rPr>
          <w:rFonts w:ascii="Arial CYR" w:hAnsi="Arial CYR" w:cs="Arial CYR"/>
          <w:b/>
          <w:bCs/>
          <w:color w:val="0000FF"/>
          <w:sz w:val="16"/>
          <w:szCs w:val="16"/>
        </w:rPr>
        <w:t>. 1</w:t>
      </w:r>
    </w:p>
    <w:tbl>
      <w:tblPr>
        <w:tblW w:w="10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17"/>
        <w:gridCol w:w="2660"/>
        <w:gridCol w:w="1431"/>
        <w:gridCol w:w="1188"/>
        <w:gridCol w:w="1260"/>
        <w:gridCol w:w="3312"/>
      </w:tblGrid>
      <w:tr w:rsidR="00A263AA" w14:paraId="7F67713E" w14:textId="77777777" w:rsidTr="00834900">
        <w:trPr>
          <w:trHeight w:val="660"/>
        </w:trPr>
        <w:tc>
          <w:tcPr>
            <w:tcW w:w="517" w:type="dxa"/>
            <w:shd w:val="clear" w:color="auto" w:fill="auto"/>
          </w:tcPr>
          <w:p w14:paraId="42AE3C04" w14:textId="77777777" w:rsidR="00A263AA" w:rsidRDefault="00A263AA" w:rsidP="00834900">
            <w:pPr>
              <w:jc w:val="center"/>
              <w:rPr>
                <w:rFonts w:ascii="Arial CYR" w:hAnsi="Arial CYR" w:cs="Arial CYR"/>
                <w:sz w:val="18"/>
                <w:szCs w:val="18"/>
              </w:rPr>
            </w:pPr>
          </w:p>
        </w:tc>
        <w:tc>
          <w:tcPr>
            <w:tcW w:w="5279" w:type="dxa"/>
            <w:gridSpan w:val="3"/>
            <w:shd w:val="clear" w:color="auto" w:fill="auto"/>
          </w:tcPr>
          <w:p w14:paraId="314133E7" w14:textId="77777777" w:rsidR="00A263AA" w:rsidRPr="00AE297D" w:rsidRDefault="00A263AA" w:rsidP="00834900">
            <w:pPr>
              <w:jc w:val="center"/>
              <w:rPr>
                <w:rFonts w:ascii="Arial CYR" w:hAnsi="Arial CYR" w:cs="Arial CYR"/>
                <w:bCs/>
                <w:sz w:val="22"/>
                <w:szCs w:val="22"/>
              </w:rPr>
            </w:pPr>
            <w:r w:rsidRPr="00AE297D">
              <w:rPr>
                <w:sz w:val="22"/>
                <w:szCs w:val="22"/>
              </w:rPr>
              <w:t xml:space="preserve">Показатели мониторинга </w:t>
            </w:r>
            <w:r w:rsidRPr="00AE297D">
              <w:rPr>
                <w:sz w:val="22"/>
                <w:szCs w:val="22"/>
              </w:rPr>
              <w:br/>
              <w:t>эффективности лицензирования</w:t>
            </w:r>
          </w:p>
        </w:tc>
        <w:tc>
          <w:tcPr>
            <w:tcW w:w="1260" w:type="dxa"/>
            <w:shd w:val="clear" w:color="auto" w:fill="auto"/>
            <w:noWrap/>
            <w:vAlign w:val="bottom"/>
          </w:tcPr>
          <w:p w14:paraId="2D710594" w14:textId="77777777" w:rsidR="00A263AA" w:rsidRDefault="00A263AA" w:rsidP="00834900">
            <w:pPr>
              <w:rPr>
                <w:rFonts w:ascii="Arial CYR" w:hAnsi="Arial CYR" w:cs="Arial CYR"/>
                <w:sz w:val="20"/>
                <w:szCs w:val="20"/>
              </w:rPr>
            </w:pPr>
          </w:p>
        </w:tc>
        <w:tc>
          <w:tcPr>
            <w:tcW w:w="3312" w:type="dxa"/>
            <w:shd w:val="clear" w:color="auto" w:fill="auto"/>
            <w:noWrap/>
            <w:vAlign w:val="bottom"/>
          </w:tcPr>
          <w:p w14:paraId="63EFBE61" w14:textId="77777777" w:rsidR="00A263AA" w:rsidRDefault="00A263AA" w:rsidP="00834900">
            <w:pPr>
              <w:rPr>
                <w:rFonts w:ascii="Arial CYR" w:hAnsi="Arial CYR" w:cs="Arial CYR"/>
                <w:b/>
                <w:bCs/>
                <w:sz w:val="20"/>
                <w:szCs w:val="20"/>
              </w:rPr>
            </w:pPr>
          </w:p>
        </w:tc>
      </w:tr>
      <w:tr w:rsidR="00A263AA" w:rsidRPr="00C12993" w14:paraId="39847BFA" w14:textId="77777777" w:rsidTr="00834900">
        <w:trPr>
          <w:trHeight w:val="59"/>
        </w:trPr>
        <w:tc>
          <w:tcPr>
            <w:tcW w:w="517" w:type="dxa"/>
            <w:shd w:val="clear" w:color="auto" w:fill="auto"/>
          </w:tcPr>
          <w:p w14:paraId="3E7047D7" w14:textId="77777777" w:rsidR="00A263AA" w:rsidRDefault="00A263AA" w:rsidP="00834900">
            <w:pPr>
              <w:jc w:val="center"/>
              <w:rPr>
                <w:rFonts w:ascii="Arial CYR" w:hAnsi="Arial CYR" w:cs="Arial CYR"/>
                <w:sz w:val="18"/>
                <w:szCs w:val="18"/>
              </w:rPr>
            </w:pPr>
          </w:p>
        </w:tc>
        <w:tc>
          <w:tcPr>
            <w:tcW w:w="2660" w:type="dxa"/>
            <w:shd w:val="clear" w:color="auto" w:fill="auto"/>
            <w:noWrap/>
            <w:vAlign w:val="bottom"/>
          </w:tcPr>
          <w:p w14:paraId="7480E7BB" w14:textId="77777777" w:rsidR="00A263AA" w:rsidRDefault="00A263AA" w:rsidP="00834900">
            <w:pPr>
              <w:rPr>
                <w:rFonts w:ascii="Arial CYR" w:hAnsi="Arial CYR" w:cs="Arial CYR"/>
                <w:b/>
                <w:bCs/>
                <w:i/>
                <w:iCs/>
                <w:sz w:val="20"/>
                <w:szCs w:val="20"/>
              </w:rPr>
            </w:pPr>
          </w:p>
        </w:tc>
        <w:tc>
          <w:tcPr>
            <w:tcW w:w="1431" w:type="dxa"/>
            <w:shd w:val="clear" w:color="auto" w:fill="auto"/>
            <w:noWrap/>
            <w:vAlign w:val="bottom"/>
          </w:tcPr>
          <w:p w14:paraId="1046EEF7" w14:textId="77777777" w:rsidR="00A263AA" w:rsidRDefault="00A263AA" w:rsidP="00834900">
            <w:pPr>
              <w:rPr>
                <w:rFonts w:ascii="Arial CYR" w:hAnsi="Arial CYR" w:cs="Arial CYR"/>
                <w:sz w:val="20"/>
                <w:szCs w:val="20"/>
              </w:rPr>
            </w:pPr>
          </w:p>
        </w:tc>
        <w:tc>
          <w:tcPr>
            <w:tcW w:w="1188" w:type="dxa"/>
            <w:shd w:val="clear" w:color="auto" w:fill="auto"/>
            <w:noWrap/>
            <w:vAlign w:val="bottom"/>
          </w:tcPr>
          <w:p w14:paraId="0C4A414A" w14:textId="77777777" w:rsidR="00A263AA" w:rsidRDefault="00A263AA" w:rsidP="00834900">
            <w:pPr>
              <w:rPr>
                <w:rFonts w:ascii="Arial CYR" w:hAnsi="Arial CYR" w:cs="Arial CYR"/>
                <w:sz w:val="20"/>
                <w:szCs w:val="20"/>
              </w:rPr>
            </w:pPr>
          </w:p>
        </w:tc>
        <w:tc>
          <w:tcPr>
            <w:tcW w:w="1260" w:type="dxa"/>
            <w:shd w:val="clear" w:color="auto" w:fill="auto"/>
            <w:noWrap/>
            <w:vAlign w:val="bottom"/>
          </w:tcPr>
          <w:p w14:paraId="17B77945" w14:textId="77777777" w:rsidR="00A263AA" w:rsidRDefault="00A263AA" w:rsidP="00834900">
            <w:pPr>
              <w:rPr>
                <w:rFonts w:ascii="Arial CYR" w:hAnsi="Arial CYR" w:cs="Arial CYR"/>
                <w:sz w:val="20"/>
                <w:szCs w:val="20"/>
              </w:rPr>
            </w:pPr>
          </w:p>
        </w:tc>
        <w:tc>
          <w:tcPr>
            <w:tcW w:w="3312" w:type="dxa"/>
            <w:shd w:val="clear" w:color="auto" w:fill="auto"/>
            <w:noWrap/>
            <w:vAlign w:val="bottom"/>
          </w:tcPr>
          <w:p w14:paraId="74B4072F" w14:textId="77777777" w:rsidR="00A263AA" w:rsidRPr="00C12993" w:rsidRDefault="00A263AA" w:rsidP="00834900">
            <w:pPr>
              <w:jc w:val="right"/>
              <w:rPr>
                <w:rFonts w:ascii="Arial CYR" w:hAnsi="Arial CYR" w:cs="Arial CYR"/>
                <w:b/>
                <w:bCs/>
                <w:color w:val="0000FF"/>
                <w:sz w:val="16"/>
                <w:szCs w:val="16"/>
              </w:rPr>
            </w:pPr>
          </w:p>
        </w:tc>
      </w:tr>
      <w:tr w:rsidR="00A263AA" w14:paraId="110C212D" w14:textId="77777777" w:rsidTr="00834900">
        <w:trPr>
          <w:trHeight w:val="975"/>
        </w:trPr>
        <w:tc>
          <w:tcPr>
            <w:tcW w:w="517" w:type="dxa"/>
            <w:shd w:val="clear" w:color="auto" w:fill="auto"/>
          </w:tcPr>
          <w:p w14:paraId="2A9500DC" w14:textId="77777777" w:rsidR="00A263AA" w:rsidRDefault="00A263AA" w:rsidP="00834900">
            <w:pPr>
              <w:jc w:val="center"/>
              <w:rPr>
                <w:rFonts w:ascii="Arial CYR" w:hAnsi="Arial CYR" w:cs="Arial CYR"/>
                <w:sz w:val="18"/>
                <w:szCs w:val="18"/>
              </w:rPr>
            </w:pPr>
          </w:p>
        </w:tc>
        <w:tc>
          <w:tcPr>
            <w:tcW w:w="4091" w:type="dxa"/>
            <w:gridSpan w:val="2"/>
            <w:shd w:val="clear" w:color="auto" w:fill="auto"/>
          </w:tcPr>
          <w:p w14:paraId="314EC600" w14:textId="77777777" w:rsidR="00A263AA" w:rsidRDefault="00A263AA" w:rsidP="00834900">
            <w:pPr>
              <w:jc w:val="center"/>
              <w:rPr>
                <w:sz w:val="20"/>
                <w:szCs w:val="20"/>
              </w:rPr>
            </w:pPr>
            <w:r>
              <w:rPr>
                <w:sz w:val="20"/>
                <w:szCs w:val="20"/>
              </w:rPr>
              <w:t>Наименование показателя</w:t>
            </w:r>
          </w:p>
        </w:tc>
        <w:tc>
          <w:tcPr>
            <w:tcW w:w="1188" w:type="dxa"/>
            <w:shd w:val="clear" w:color="auto" w:fill="auto"/>
          </w:tcPr>
          <w:p w14:paraId="360EABD1" w14:textId="77777777" w:rsidR="00A263AA" w:rsidRDefault="00A263AA" w:rsidP="00834900">
            <w:pPr>
              <w:jc w:val="center"/>
              <w:rPr>
                <w:sz w:val="18"/>
                <w:szCs w:val="18"/>
              </w:rPr>
            </w:pPr>
            <w:r>
              <w:rPr>
                <w:sz w:val="18"/>
                <w:szCs w:val="18"/>
              </w:rPr>
              <w:t>Показатели</w:t>
            </w:r>
          </w:p>
          <w:p w14:paraId="6BE24525" w14:textId="77777777" w:rsidR="00A263AA" w:rsidRDefault="00A263AA" w:rsidP="00834900">
            <w:pPr>
              <w:jc w:val="center"/>
              <w:rPr>
                <w:sz w:val="18"/>
                <w:szCs w:val="18"/>
              </w:rPr>
            </w:pPr>
          </w:p>
          <w:p w14:paraId="62837C93" w14:textId="77777777" w:rsidR="00A263AA" w:rsidRDefault="00A263AA" w:rsidP="00834900">
            <w:pPr>
              <w:jc w:val="center"/>
              <w:rPr>
                <w:sz w:val="20"/>
                <w:szCs w:val="20"/>
              </w:rPr>
            </w:pPr>
            <w:r>
              <w:rPr>
                <w:sz w:val="18"/>
                <w:szCs w:val="18"/>
              </w:rPr>
              <w:t>2021г</w:t>
            </w:r>
          </w:p>
        </w:tc>
        <w:tc>
          <w:tcPr>
            <w:tcW w:w="1260" w:type="dxa"/>
            <w:shd w:val="clear" w:color="auto" w:fill="auto"/>
          </w:tcPr>
          <w:p w14:paraId="694EEF0A" w14:textId="77777777" w:rsidR="00A263AA" w:rsidRDefault="00A263AA" w:rsidP="00834900">
            <w:pPr>
              <w:jc w:val="center"/>
              <w:rPr>
                <w:sz w:val="18"/>
                <w:szCs w:val="18"/>
              </w:rPr>
            </w:pPr>
            <w:r>
              <w:rPr>
                <w:sz w:val="18"/>
                <w:szCs w:val="18"/>
              </w:rPr>
              <w:t>Показатели предыдущего года</w:t>
            </w:r>
          </w:p>
          <w:p w14:paraId="14353218" w14:textId="77777777" w:rsidR="00A263AA" w:rsidRDefault="00A263AA" w:rsidP="00834900">
            <w:pPr>
              <w:jc w:val="center"/>
              <w:rPr>
                <w:sz w:val="18"/>
                <w:szCs w:val="18"/>
              </w:rPr>
            </w:pPr>
            <w:r>
              <w:rPr>
                <w:sz w:val="18"/>
                <w:szCs w:val="18"/>
              </w:rPr>
              <w:t>2020г</w:t>
            </w:r>
          </w:p>
        </w:tc>
        <w:tc>
          <w:tcPr>
            <w:tcW w:w="3312" w:type="dxa"/>
            <w:shd w:val="clear" w:color="auto" w:fill="auto"/>
          </w:tcPr>
          <w:p w14:paraId="57CF85EE" w14:textId="77777777" w:rsidR="00A263AA" w:rsidRDefault="00A263AA" w:rsidP="00834900">
            <w:pPr>
              <w:jc w:val="center"/>
              <w:rPr>
                <w:sz w:val="18"/>
                <w:szCs w:val="18"/>
              </w:rPr>
            </w:pPr>
            <w:r>
              <w:rPr>
                <w:sz w:val="18"/>
                <w:szCs w:val="18"/>
              </w:rPr>
              <w:t>Отклонение %</w:t>
            </w:r>
          </w:p>
          <w:p w14:paraId="4F51D2AD" w14:textId="77777777" w:rsidR="00A263AA" w:rsidRDefault="00A263AA" w:rsidP="00834900">
            <w:pPr>
              <w:jc w:val="center"/>
              <w:rPr>
                <w:sz w:val="18"/>
                <w:szCs w:val="18"/>
              </w:rPr>
            </w:pPr>
            <w:r>
              <w:rPr>
                <w:sz w:val="18"/>
                <w:szCs w:val="18"/>
              </w:rPr>
              <w:t>(при значении более 10% указать причины таких отклонений)</w:t>
            </w:r>
          </w:p>
        </w:tc>
      </w:tr>
      <w:tr w:rsidR="00A263AA" w14:paraId="414A276F" w14:textId="77777777" w:rsidTr="00834900">
        <w:trPr>
          <w:trHeight w:val="510"/>
        </w:trPr>
        <w:tc>
          <w:tcPr>
            <w:tcW w:w="4608" w:type="dxa"/>
            <w:gridSpan w:val="3"/>
            <w:shd w:val="clear" w:color="auto" w:fill="CCFFFF"/>
          </w:tcPr>
          <w:p w14:paraId="19616529" w14:textId="77777777" w:rsidR="00A263AA" w:rsidRPr="00C10138" w:rsidRDefault="00A263AA" w:rsidP="00834900">
            <w:pPr>
              <w:jc w:val="both"/>
              <w:rPr>
                <w:sz w:val="20"/>
                <w:szCs w:val="20"/>
              </w:rPr>
            </w:pPr>
            <w:r>
              <w:rPr>
                <w:sz w:val="20"/>
                <w:szCs w:val="20"/>
              </w:rPr>
              <w:t>Доля заявлений о предоставлении, переоформлении, прекращении действия лицензий, о выдаче дубликата, копии лицензий, полученных министерством:</w:t>
            </w:r>
          </w:p>
        </w:tc>
        <w:tc>
          <w:tcPr>
            <w:tcW w:w="1188" w:type="dxa"/>
            <w:shd w:val="clear" w:color="auto" w:fill="auto"/>
          </w:tcPr>
          <w:p w14:paraId="48729702" w14:textId="77777777" w:rsidR="00A263AA" w:rsidRDefault="00A263AA" w:rsidP="00834900">
            <w:pPr>
              <w:jc w:val="center"/>
              <w:rPr>
                <w:sz w:val="20"/>
                <w:szCs w:val="20"/>
              </w:rPr>
            </w:pPr>
          </w:p>
        </w:tc>
        <w:tc>
          <w:tcPr>
            <w:tcW w:w="1260" w:type="dxa"/>
            <w:shd w:val="clear" w:color="auto" w:fill="auto"/>
          </w:tcPr>
          <w:p w14:paraId="6F17FBA5" w14:textId="77777777" w:rsidR="00A263AA" w:rsidRDefault="00A263AA" w:rsidP="00834900">
            <w:pPr>
              <w:jc w:val="center"/>
              <w:rPr>
                <w:sz w:val="20"/>
                <w:szCs w:val="20"/>
              </w:rPr>
            </w:pPr>
          </w:p>
        </w:tc>
        <w:tc>
          <w:tcPr>
            <w:tcW w:w="3312" w:type="dxa"/>
            <w:shd w:val="clear" w:color="auto" w:fill="auto"/>
          </w:tcPr>
          <w:p w14:paraId="061DD391" w14:textId="77777777" w:rsidR="00A263AA" w:rsidRDefault="00A263AA" w:rsidP="00834900">
            <w:pPr>
              <w:jc w:val="center"/>
              <w:rPr>
                <w:sz w:val="20"/>
                <w:szCs w:val="20"/>
              </w:rPr>
            </w:pPr>
          </w:p>
        </w:tc>
      </w:tr>
      <w:tr w:rsidR="00A263AA" w14:paraId="1E48EEE5" w14:textId="77777777" w:rsidTr="00834900">
        <w:trPr>
          <w:trHeight w:val="387"/>
        </w:trPr>
        <w:tc>
          <w:tcPr>
            <w:tcW w:w="517" w:type="dxa"/>
            <w:shd w:val="clear" w:color="auto" w:fill="CCFFFF"/>
          </w:tcPr>
          <w:p w14:paraId="54D7AB49" w14:textId="77777777" w:rsidR="00A263AA" w:rsidRDefault="00A263AA" w:rsidP="00834900">
            <w:pPr>
              <w:jc w:val="center"/>
              <w:rPr>
                <w:rFonts w:ascii="Arial CYR" w:hAnsi="Arial CYR" w:cs="Arial CYR"/>
                <w:i/>
                <w:sz w:val="18"/>
                <w:szCs w:val="18"/>
              </w:rPr>
            </w:pPr>
            <w:r>
              <w:rPr>
                <w:rFonts w:ascii="Arial CYR" w:hAnsi="Arial CYR" w:cs="Arial CYR"/>
                <w:i/>
                <w:sz w:val="18"/>
                <w:szCs w:val="18"/>
              </w:rPr>
              <w:t>а</w:t>
            </w:r>
          </w:p>
        </w:tc>
        <w:tc>
          <w:tcPr>
            <w:tcW w:w="4091" w:type="dxa"/>
            <w:gridSpan w:val="2"/>
            <w:shd w:val="clear" w:color="auto" w:fill="CCFFFF"/>
          </w:tcPr>
          <w:p w14:paraId="70D2E0D0" w14:textId="77777777" w:rsidR="00A263AA" w:rsidRPr="00837959" w:rsidRDefault="00A263AA" w:rsidP="00834900">
            <w:pPr>
              <w:jc w:val="right"/>
              <w:rPr>
                <w:i/>
                <w:iCs/>
                <w:sz w:val="20"/>
                <w:szCs w:val="20"/>
              </w:rPr>
            </w:pPr>
            <w:r>
              <w:rPr>
                <w:i/>
                <w:iCs/>
                <w:sz w:val="20"/>
                <w:szCs w:val="20"/>
              </w:rPr>
              <w:t xml:space="preserve">в </w:t>
            </w:r>
            <w:r w:rsidRPr="00837959">
              <w:rPr>
                <w:i/>
                <w:iCs/>
                <w:sz w:val="20"/>
                <w:szCs w:val="20"/>
              </w:rPr>
              <w:t>электронной форме</w:t>
            </w:r>
          </w:p>
        </w:tc>
        <w:tc>
          <w:tcPr>
            <w:tcW w:w="1188" w:type="dxa"/>
            <w:shd w:val="clear" w:color="auto" w:fill="auto"/>
          </w:tcPr>
          <w:p w14:paraId="65078ED6" w14:textId="77777777" w:rsidR="00A263AA" w:rsidRDefault="00A263AA" w:rsidP="00834900">
            <w:pPr>
              <w:jc w:val="center"/>
              <w:rPr>
                <w:sz w:val="20"/>
                <w:szCs w:val="20"/>
              </w:rPr>
            </w:pPr>
            <w:r>
              <w:rPr>
                <w:sz w:val="20"/>
                <w:szCs w:val="20"/>
              </w:rPr>
              <w:t>0</w:t>
            </w:r>
          </w:p>
        </w:tc>
        <w:tc>
          <w:tcPr>
            <w:tcW w:w="1260" w:type="dxa"/>
            <w:shd w:val="clear" w:color="auto" w:fill="auto"/>
          </w:tcPr>
          <w:p w14:paraId="6DFF8A92" w14:textId="77777777" w:rsidR="00A263AA" w:rsidRDefault="00A263AA" w:rsidP="00834900">
            <w:pPr>
              <w:jc w:val="center"/>
              <w:rPr>
                <w:sz w:val="20"/>
                <w:szCs w:val="20"/>
              </w:rPr>
            </w:pPr>
            <w:r>
              <w:rPr>
                <w:sz w:val="20"/>
                <w:szCs w:val="20"/>
              </w:rPr>
              <w:t>5,5%</w:t>
            </w:r>
          </w:p>
        </w:tc>
        <w:tc>
          <w:tcPr>
            <w:tcW w:w="3312" w:type="dxa"/>
            <w:shd w:val="clear" w:color="auto" w:fill="auto"/>
          </w:tcPr>
          <w:p w14:paraId="7F73F347" w14:textId="77777777" w:rsidR="00A263AA" w:rsidRPr="00627912" w:rsidRDefault="00A263AA" w:rsidP="00834900">
            <w:pPr>
              <w:jc w:val="center"/>
              <w:rPr>
                <w:sz w:val="20"/>
                <w:szCs w:val="20"/>
              </w:rPr>
            </w:pPr>
            <w:r w:rsidRPr="00627912">
              <w:rPr>
                <w:sz w:val="20"/>
                <w:szCs w:val="20"/>
              </w:rPr>
              <w:t>0</w:t>
            </w:r>
          </w:p>
        </w:tc>
      </w:tr>
      <w:tr w:rsidR="00A263AA" w14:paraId="7992167D" w14:textId="77777777" w:rsidTr="00834900">
        <w:trPr>
          <w:trHeight w:val="331"/>
        </w:trPr>
        <w:tc>
          <w:tcPr>
            <w:tcW w:w="517" w:type="dxa"/>
            <w:shd w:val="clear" w:color="auto" w:fill="CCFFFF"/>
          </w:tcPr>
          <w:p w14:paraId="6F0183A8" w14:textId="77777777" w:rsidR="00A263AA" w:rsidRDefault="00A263AA" w:rsidP="00834900">
            <w:pPr>
              <w:jc w:val="center"/>
              <w:rPr>
                <w:rFonts w:ascii="Arial CYR" w:hAnsi="Arial CYR" w:cs="Arial CYR"/>
                <w:i/>
                <w:sz w:val="18"/>
                <w:szCs w:val="18"/>
              </w:rPr>
            </w:pPr>
            <w:r>
              <w:rPr>
                <w:rFonts w:ascii="Arial CYR" w:hAnsi="Arial CYR" w:cs="Arial CYR"/>
                <w:i/>
                <w:sz w:val="18"/>
                <w:szCs w:val="18"/>
              </w:rPr>
              <w:t>б</w:t>
            </w:r>
          </w:p>
        </w:tc>
        <w:tc>
          <w:tcPr>
            <w:tcW w:w="4091" w:type="dxa"/>
            <w:gridSpan w:val="2"/>
            <w:shd w:val="clear" w:color="auto" w:fill="CCFFFF"/>
            <w:vAlign w:val="center"/>
          </w:tcPr>
          <w:p w14:paraId="2824B447" w14:textId="77777777" w:rsidR="00A263AA" w:rsidRPr="00837959" w:rsidRDefault="00A263AA" w:rsidP="00834900">
            <w:pPr>
              <w:jc w:val="right"/>
              <w:rPr>
                <w:i/>
                <w:iCs/>
                <w:sz w:val="20"/>
                <w:szCs w:val="20"/>
              </w:rPr>
            </w:pPr>
            <w:r>
              <w:rPr>
                <w:i/>
                <w:iCs/>
                <w:sz w:val="20"/>
                <w:szCs w:val="20"/>
              </w:rPr>
              <w:t>на</w:t>
            </w:r>
            <w:r w:rsidRPr="00837959">
              <w:rPr>
                <w:i/>
                <w:iCs/>
                <w:sz w:val="20"/>
                <w:szCs w:val="20"/>
              </w:rPr>
              <w:t xml:space="preserve"> бумажном носителе</w:t>
            </w:r>
          </w:p>
        </w:tc>
        <w:tc>
          <w:tcPr>
            <w:tcW w:w="1188" w:type="dxa"/>
            <w:shd w:val="clear" w:color="auto" w:fill="auto"/>
          </w:tcPr>
          <w:p w14:paraId="2324BF2B" w14:textId="77777777" w:rsidR="00A263AA" w:rsidRDefault="00A263AA" w:rsidP="00834900">
            <w:pPr>
              <w:jc w:val="center"/>
              <w:rPr>
                <w:sz w:val="20"/>
                <w:szCs w:val="20"/>
              </w:rPr>
            </w:pPr>
            <w:r w:rsidRPr="00CB1F93">
              <w:rPr>
                <w:sz w:val="20"/>
                <w:szCs w:val="20"/>
              </w:rPr>
              <w:t>100</w:t>
            </w:r>
            <w:r>
              <w:rPr>
                <w:sz w:val="20"/>
                <w:szCs w:val="20"/>
              </w:rPr>
              <w:t>%</w:t>
            </w:r>
          </w:p>
        </w:tc>
        <w:tc>
          <w:tcPr>
            <w:tcW w:w="1260" w:type="dxa"/>
            <w:shd w:val="clear" w:color="auto" w:fill="auto"/>
          </w:tcPr>
          <w:p w14:paraId="53C69103" w14:textId="77777777" w:rsidR="00A263AA" w:rsidRDefault="00A263AA" w:rsidP="00834900">
            <w:pPr>
              <w:jc w:val="center"/>
              <w:rPr>
                <w:sz w:val="20"/>
                <w:szCs w:val="20"/>
              </w:rPr>
            </w:pPr>
            <w:r>
              <w:rPr>
                <w:sz w:val="20"/>
                <w:szCs w:val="20"/>
              </w:rPr>
              <w:t>94,5%</w:t>
            </w:r>
          </w:p>
        </w:tc>
        <w:tc>
          <w:tcPr>
            <w:tcW w:w="3312" w:type="dxa"/>
            <w:shd w:val="clear" w:color="auto" w:fill="auto"/>
          </w:tcPr>
          <w:p w14:paraId="03B6095E" w14:textId="77777777" w:rsidR="00A263AA" w:rsidRPr="00627912" w:rsidRDefault="00A263AA" w:rsidP="00834900">
            <w:pPr>
              <w:jc w:val="center"/>
              <w:rPr>
                <w:sz w:val="20"/>
                <w:szCs w:val="20"/>
              </w:rPr>
            </w:pPr>
            <w:r w:rsidRPr="00627912">
              <w:rPr>
                <w:sz w:val="20"/>
                <w:szCs w:val="20"/>
              </w:rPr>
              <w:t>5,5%</w:t>
            </w:r>
          </w:p>
        </w:tc>
      </w:tr>
      <w:tr w:rsidR="00A263AA" w14:paraId="55886DBC" w14:textId="77777777" w:rsidTr="00834900">
        <w:trPr>
          <w:trHeight w:val="510"/>
        </w:trPr>
        <w:tc>
          <w:tcPr>
            <w:tcW w:w="517" w:type="dxa"/>
            <w:shd w:val="clear" w:color="auto" w:fill="CCFFFF"/>
          </w:tcPr>
          <w:p w14:paraId="7475B437" w14:textId="77777777" w:rsidR="00A263AA" w:rsidRPr="00FC57F5" w:rsidRDefault="00A263AA" w:rsidP="00834900">
            <w:pPr>
              <w:jc w:val="center"/>
              <w:rPr>
                <w:rFonts w:ascii="Arial CYR" w:hAnsi="Arial CYR" w:cs="Arial CYR"/>
                <w:i/>
                <w:sz w:val="18"/>
                <w:szCs w:val="18"/>
              </w:rPr>
            </w:pPr>
            <w:r>
              <w:rPr>
                <w:rFonts w:ascii="Arial CYR" w:hAnsi="Arial CYR" w:cs="Arial CYR"/>
                <w:i/>
                <w:sz w:val="18"/>
                <w:szCs w:val="18"/>
              </w:rPr>
              <w:t>в</w:t>
            </w:r>
          </w:p>
        </w:tc>
        <w:tc>
          <w:tcPr>
            <w:tcW w:w="4091" w:type="dxa"/>
            <w:gridSpan w:val="2"/>
            <w:shd w:val="clear" w:color="auto" w:fill="CCFFFF"/>
          </w:tcPr>
          <w:p w14:paraId="628F9717" w14:textId="77777777" w:rsidR="00A263AA" w:rsidRPr="00C10138" w:rsidRDefault="00A263AA" w:rsidP="00834900">
            <w:pPr>
              <w:jc w:val="both"/>
              <w:rPr>
                <w:sz w:val="20"/>
                <w:szCs w:val="20"/>
              </w:rPr>
            </w:pPr>
            <w:r w:rsidRPr="00C10138">
              <w:rPr>
                <w:sz w:val="20"/>
                <w:szCs w:val="20"/>
              </w:rPr>
              <w:t>Доля решений об отказе в</w:t>
            </w:r>
            <w:r>
              <w:rPr>
                <w:sz w:val="20"/>
                <w:szCs w:val="20"/>
              </w:rPr>
              <w:t xml:space="preserve"> </w:t>
            </w:r>
            <w:r w:rsidRPr="00C10138">
              <w:rPr>
                <w:sz w:val="20"/>
                <w:szCs w:val="20"/>
              </w:rPr>
              <w:t>предоставлении, переоформлении</w:t>
            </w:r>
            <w:r>
              <w:rPr>
                <w:sz w:val="20"/>
                <w:szCs w:val="20"/>
              </w:rPr>
              <w:t xml:space="preserve"> лицензии</w:t>
            </w:r>
            <w:r w:rsidRPr="00C10138">
              <w:rPr>
                <w:sz w:val="20"/>
                <w:szCs w:val="20"/>
              </w:rPr>
              <w:t>,</w:t>
            </w:r>
            <w:r>
              <w:rPr>
                <w:sz w:val="20"/>
                <w:szCs w:val="20"/>
              </w:rPr>
              <w:t xml:space="preserve"> </w:t>
            </w:r>
            <w:r w:rsidRPr="00C10138">
              <w:rPr>
                <w:sz w:val="20"/>
                <w:szCs w:val="20"/>
              </w:rPr>
              <w:t>отмененных судом (в процентах от общего количества принятых решений о</w:t>
            </w:r>
            <w:r>
              <w:rPr>
                <w:sz w:val="20"/>
                <w:szCs w:val="20"/>
              </w:rPr>
              <w:t xml:space="preserve"> предоставлении, переоформлении</w:t>
            </w:r>
            <w:r w:rsidRPr="00C10138">
              <w:rPr>
                <w:sz w:val="20"/>
                <w:szCs w:val="20"/>
              </w:rPr>
              <w:t xml:space="preserve"> действия лицензии</w:t>
            </w:r>
          </w:p>
        </w:tc>
        <w:tc>
          <w:tcPr>
            <w:tcW w:w="1188" w:type="dxa"/>
            <w:shd w:val="clear" w:color="auto" w:fill="auto"/>
          </w:tcPr>
          <w:p w14:paraId="39A449F6" w14:textId="77777777" w:rsidR="00A263AA" w:rsidRDefault="00A263AA" w:rsidP="00834900">
            <w:pPr>
              <w:jc w:val="center"/>
              <w:rPr>
                <w:sz w:val="20"/>
                <w:szCs w:val="20"/>
              </w:rPr>
            </w:pPr>
            <w:r>
              <w:rPr>
                <w:sz w:val="20"/>
                <w:szCs w:val="20"/>
              </w:rPr>
              <w:t>0</w:t>
            </w:r>
          </w:p>
        </w:tc>
        <w:tc>
          <w:tcPr>
            <w:tcW w:w="1260" w:type="dxa"/>
            <w:shd w:val="clear" w:color="auto" w:fill="auto"/>
          </w:tcPr>
          <w:p w14:paraId="6EB63ED4" w14:textId="77777777" w:rsidR="00A263AA" w:rsidRDefault="00A263AA" w:rsidP="00834900">
            <w:pPr>
              <w:jc w:val="center"/>
              <w:rPr>
                <w:sz w:val="20"/>
                <w:szCs w:val="20"/>
              </w:rPr>
            </w:pPr>
            <w:r>
              <w:rPr>
                <w:sz w:val="20"/>
                <w:szCs w:val="20"/>
              </w:rPr>
              <w:t>0</w:t>
            </w:r>
          </w:p>
        </w:tc>
        <w:tc>
          <w:tcPr>
            <w:tcW w:w="3312" w:type="dxa"/>
            <w:shd w:val="clear" w:color="auto" w:fill="auto"/>
          </w:tcPr>
          <w:p w14:paraId="60952A66" w14:textId="77777777" w:rsidR="00A263AA" w:rsidRDefault="00A263AA" w:rsidP="00834900">
            <w:pPr>
              <w:jc w:val="center"/>
              <w:rPr>
                <w:sz w:val="20"/>
                <w:szCs w:val="20"/>
              </w:rPr>
            </w:pPr>
            <w:r>
              <w:rPr>
                <w:sz w:val="20"/>
                <w:szCs w:val="20"/>
              </w:rPr>
              <w:t>0</w:t>
            </w:r>
          </w:p>
        </w:tc>
      </w:tr>
      <w:tr w:rsidR="00A263AA" w14:paraId="112A7F45" w14:textId="77777777" w:rsidTr="00834900">
        <w:trPr>
          <w:trHeight w:val="510"/>
        </w:trPr>
        <w:tc>
          <w:tcPr>
            <w:tcW w:w="517" w:type="dxa"/>
            <w:shd w:val="clear" w:color="auto" w:fill="CCFFFF"/>
          </w:tcPr>
          <w:p w14:paraId="6DE6A79A" w14:textId="77777777" w:rsidR="00A263AA" w:rsidRPr="00FC57F5" w:rsidRDefault="00A263AA" w:rsidP="00834900">
            <w:pPr>
              <w:jc w:val="center"/>
              <w:rPr>
                <w:rFonts w:ascii="Arial CYR" w:hAnsi="Arial CYR" w:cs="Arial CYR"/>
                <w:i/>
                <w:sz w:val="18"/>
                <w:szCs w:val="18"/>
              </w:rPr>
            </w:pPr>
            <w:r>
              <w:rPr>
                <w:rFonts w:ascii="Arial CYR" w:hAnsi="Arial CYR" w:cs="Arial CYR"/>
                <w:i/>
                <w:sz w:val="18"/>
                <w:szCs w:val="18"/>
              </w:rPr>
              <w:t>г</w:t>
            </w:r>
          </w:p>
        </w:tc>
        <w:tc>
          <w:tcPr>
            <w:tcW w:w="4091" w:type="dxa"/>
            <w:gridSpan w:val="2"/>
            <w:shd w:val="clear" w:color="auto" w:fill="CCFFFF"/>
          </w:tcPr>
          <w:p w14:paraId="44B8A4C6" w14:textId="77777777" w:rsidR="00A263AA" w:rsidRDefault="00A263AA" w:rsidP="00834900">
            <w:pPr>
              <w:rPr>
                <w:sz w:val="20"/>
                <w:szCs w:val="20"/>
              </w:rPr>
            </w:pPr>
            <w:r>
              <w:rPr>
                <w:sz w:val="20"/>
                <w:szCs w:val="20"/>
              </w:rPr>
              <w:t>С</w:t>
            </w:r>
            <w:r w:rsidRPr="0026431E">
              <w:rPr>
                <w:sz w:val="20"/>
                <w:szCs w:val="20"/>
              </w:rPr>
              <w:t>редний срок рассмотрения заявления о предоставлении лицен</w:t>
            </w:r>
            <w:r>
              <w:rPr>
                <w:sz w:val="20"/>
                <w:szCs w:val="20"/>
              </w:rPr>
              <w:t xml:space="preserve">зии </w:t>
            </w:r>
            <w:r>
              <w:rPr>
                <w:i/>
                <w:sz w:val="20"/>
                <w:szCs w:val="20"/>
              </w:rPr>
              <w:t xml:space="preserve">в рабочих </w:t>
            </w:r>
            <w:r w:rsidRPr="00E209E0">
              <w:rPr>
                <w:i/>
                <w:sz w:val="20"/>
                <w:szCs w:val="20"/>
              </w:rPr>
              <w:t>днях</w:t>
            </w:r>
          </w:p>
        </w:tc>
        <w:tc>
          <w:tcPr>
            <w:tcW w:w="1188" w:type="dxa"/>
            <w:shd w:val="clear" w:color="auto" w:fill="auto"/>
          </w:tcPr>
          <w:p w14:paraId="7A961412" w14:textId="77777777" w:rsidR="00A263AA" w:rsidRPr="008542E1" w:rsidRDefault="00A263AA" w:rsidP="00834900">
            <w:pPr>
              <w:jc w:val="center"/>
              <w:rPr>
                <w:sz w:val="20"/>
                <w:szCs w:val="20"/>
                <w:highlight w:val="yellow"/>
              </w:rPr>
            </w:pPr>
            <w:r w:rsidRPr="00CB1F93">
              <w:rPr>
                <w:sz w:val="20"/>
                <w:szCs w:val="20"/>
              </w:rPr>
              <w:t>14,0</w:t>
            </w:r>
          </w:p>
        </w:tc>
        <w:tc>
          <w:tcPr>
            <w:tcW w:w="1260" w:type="dxa"/>
            <w:shd w:val="clear" w:color="auto" w:fill="auto"/>
          </w:tcPr>
          <w:p w14:paraId="6A8CF611" w14:textId="77777777" w:rsidR="00A263AA" w:rsidRPr="008542E1" w:rsidRDefault="00A263AA" w:rsidP="00834900">
            <w:pPr>
              <w:jc w:val="center"/>
              <w:rPr>
                <w:sz w:val="20"/>
                <w:szCs w:val="20"/>
                <w:highlight w:val="yellow"/>
              </w:rPr>
            </w:pPr>
            <w:r>
              <w:rPr>
                <w:sz w:val="20"/>
                <w:szCs w:val="20"/>
              </w:rPr>
              <w:t>18,0</w:t>
            </w:r>
          </w:p>
        </w:tc>
        <w:tc>
          <w:tcPr>
            <w:tcW w:w="3312" w:type="dxa"/>
            <w:shd w:val="clear" w:color="auto" w:fill="auto"/>
          </w:tcPr>
          <w:p w14:paraId="3CC8CA02" w14:textId="77777777" w:rsidR="00A263AA" w:rsidRPr="00627912" w:rsidRDefault="00A263AA" w:rsidP="00834900">
            <w:pPr>
              <w:ind w:left="-34"/>
              <w:jc w:val="center"/>
              <w:rPr>
                <w:sz w:val="20"/>
                <w:szCs w:val="20"/>
              </w:rPr>
            </w:pPr>
            <w:r w:rsidRPr="00627912">
              <w:rPr>
                <w:sz w:val="20"/>
                <w:szCs w:val="20"/>
              </w:rPr>
              <w:t>22,3%</w:t>
            </w:r>
          </w:p>
          <w:p w14:paraId="7DFA94C7" w14:textId="77777777" w:rsidR="00A263AA" w:rsidRPr="0056753A" w:rsidRDefault="00A263AA" w:rsidP="00834900">
            <w:pPr>
              <w:ind w:left="-34"/>
              <w:rPr>
                <w:color w:val="FF0000"/>
                <w:sz w:val="20"/>
                <w:szCs w:val="20"/>
                <w:highlight w:val="yellow"/>
              </w:rPr>
            </w:pPr>
            <w:r w:rsidRPr="00627912">
              <w:rPr>
                <w:sz w:val="20"/>
                <w:szCs w:val="20"/>
              </w:rPr>
              <w:t>Срок рассмотрения заявления о предоставлении лицензии уменьшился по сравнению с 2020г.</w:t>
            </w:r>
            <w:r w:rsidRPr="0056753A">
              <w:rPr>
                <w:color w:val="FF0000"/>
                <w:sz w:val="20"/>
                <w:szCs w:val="20"/>
              </w:rPr>
              <w:t xml:space="preserve"> </w:t>
            </w:r>
          </w:p>
        </w:tc>
      </w:tr>
      <w:tr w:rsidR="00A263AA" w14:paraId="02C9E791" w14:textId="77777777" w:rsidTr="00834900">
        <w:trPr>
          <w:trHeight w:val="510"/>
        </w:trPr>
        <w:tc>
          <w:tcPr>
            <w:tcW w:w="517" w:type="dxa"/>
            <w:shd w:val="clear" w:color="auto" w:fill="CCFFFF"/>
          </w:tcPr>
          <w:p w14:paraId="26613FFA" w14:textId="77777777" w:rsidR="00A263AA" w:rsidRPr="00075589" w:rsidRDefault="00A263AA" w:rsidP="00834900">
            <w:pPr>
              <w:jc w:val="center"/>
              <w:rPr>
                <w:rFonts w:ascii="Arial CYR" w:hAnsi="Arial CYR" w:cs="Arial CYR"/>
                <w:i/>
                <w:sz w:val="18"/>
                <w:szCs w:val="18"/>
              </w:rPr>
            </w:pPr>
            <w:r w:rsidRPr="00075589">
              <w:rPr>
                <w:rFonts w:ascii="Arial CYR" w:hAnsi="Arial CYR" w:cs="Arial CYR"/>
                <w:i/>
                <w:sz w:val="18"/>
                <w:szCs w:val="18"/>
              </w:rPr>
              <w:t>д</w:t>
            </w:r>
          </w:p>
        </w:tc>
        <w:tc>
          <w:tcPr>
            <w:tcW w:w="4091" w:type="dxa"/>
            <w:gridSpan w:val="2"/>
            <w:shd w:val="clear" w:color="auto" w:fill="CCFFFF"/>
          </w:tcPr>
          <w:p w14:paraId="7BE01F5A" w14:textId="77777777" w:rsidR="00A263AA" w:rsidRDefault="00A263AA" w:rsidP="00834900">
            <w:pPr>
              <w:rPr>
                <w:sz w:val="20"/>
                <w:szCs w:val="20"/>
              </w:rPr>
            </w:pPr>
            <w:r>
              <w:rPr>
                <w:sz w:val="20"/>
                <w:szCs w:val="20"/>
              </w:rPr>
              <w:t>Д</w:t>
            </w:r>
            <w:r w:rsidRPr="00C1786D">
              <w:rPr>
                <w:sz w:val="20"/>
                <w:szCs w:val="20"/>
              </w:rPr>
              <w:t xml:space="preserve">оля заявлений о </w:t>
            </w:r>
            <w:r w:rsidRPr="00C1786D">
              <w:rPr>
                <w:i/>
                <w:sz w:val="20"/>
                <w:szCs w:val="20"/>
              </w:rPr>
              <w:t>предоставлении</w:t>
            </w:r>
            <w:r w:rsidRPr="00C1786D">
              <w:rPr>
                <w:sz w:val="20"/>
                <w:szCs w:val="20"/>
              </w:rPr>
              <w:t xml:space="preserve"> лицензии, рассмотренных в установленные законодательством РФ сроки (в процентах от общего</w:t>
            </w:r>
            <w:r w:rsidRPr="005E7021">
              <w:rPr>
                <w:sz w:val="20"/>
                <w:szCs w:val="20"/>
              </w:rPr>
              <w:t xml:space="preserve"> числа заявлений соответственно</w:t>
            </w:r>
            <w:r>
              <w:rPr>
                <w:sz w:val="22"/>
                <w:szCs w:val="22"/>
              </w:rPr>
              <w:t>)</w:t>
            </w:r>
          </w:p>
        </w:tc>
        <w:tc>
          <w:tcPr>
            <w:tcW w:w="1188" w:type="dxa"/>
            <w:shd w:val="clear" w:color="auto" w:fill="auto"/>
          </w:tcPr>
          <w:p w14:paraId="601FAF1D" w14:textId="77777777" w:rsidR="00A263AA" w:rsidRDefault="00A263AA" w:rsidP="00834900">
            <w:pPr>
              <w:jc w:val="center"/>
              <w:rPr>
                <w:sz w:val="20"/>
                <w:szCs w:val="20"/>
              </w:rPr>
            </w:pPr>
            <w:r>
              <w:rPr>
                <w:sz w:val="20"/>
                <w:szCs w:val="20"/>
              </w:rPr>
              <w:t>100%</w:t>
            </w:r>
          </w:p>
        </w:tc>
        <w:tc>
          <w:tcPr>
            <w:tcW w:w="1260" w:type="dxa"/>
            <w:shd w:val="clear" w:color="auto" w:fill="auto"/>
          </w:tcPr>
          <w:p w14:paraId="3A8DC945" w14:textId="77777777" w:rsidR="00A263AA" w:rsidRDefault="00A263AA" w:rsidP="00834900">
            <w:pPr>
              <w:jc w:val="center"/>
              <w:rPr>
                <w:sz w:val="20"/>
                <w:szCs w:val="20"/>
              </w:rPr>
            </w:pPr>
            <w:r>
              <w:rPr>
                <w:sz w:val="20"/>
                <w:szCs w:val="20"/>
              </w:rPr>
              <w:t>100%</w:t>
            </w:r>
          </w:p>
        </w:tc>
        <w:tc>
          <w:tcPr>
            <w:tcW w:w="3312" w:type="dxa"/>
            <w:shd w:val="clear" w:color="auto" w:fill="auto"/>
          </w:tcPr>
          <w:p w14:paraId="6C6F3ED2" w14:textId="77777777" w:rsidR="00A263AA" w:rsidRPr="0056753A" w:rsidRDefault="00A263AA" w:rsidP="00834900">
            <w:pPr>
              <w:jc w:val="center"/>
              <w:rPr>
                <w:color w:val="FF0000"/>
                <w:sz w:val="20"/>
                <w:szCs w:val="20"/>
              </w:rPr>
            </w:pPr>
            <w:r w:rsidRPr="0056753A">
              <w:rPr>
                <w:color w:val="FF0000"/>
                <w:sz w:val="20"/>
                <w:szCs w:val="20"/>
              </w:rPr>
              <w:t>0</w:t>
            </w:r>
          </w:p>
        </w:tc>
      </w:tr>
      <w:tr w:rsidR="00A263AA" w14:paraId="0C4543C9" w14:textId="77777777" w:rsidTr="00834900">
        <w:trPr>
          <w:trHeight w:val="510"/>
        </w:trPr>
        <w:tc>
          <w:tcPr>
            <w:tcW w:w="517" w:type="dxa"/>
            <w:shd w:val="clear" w:color="auto" w:fill="CCFFFF"/>
          </w:tcPr>
          <w:p w14:paraId="16C56119" w14:textId="77777777" w:rsidR="00A263AA" w:rsidRPr="00E209E0" w:rsidRDefault="00A263AA" w:rsidP="00834900">
            <w:pPr>
              <w:jc w:val="center"/>
              <w:rPr>
                <w:rFonts w:ascii="Arial CYR" w:hAnsi="Arial CYR" w:cs="Arial CYR"/>
                <w:i/>
                <w:sz w:val="18"/>
                <w:szCs w:val="18"/>
              </w:rPr>
            </w:pPr>
            <w:r w:rsidRPr="00E209E0">
              <w:rPr>
                <w:rFonts w:ascii="Arial CYR" w:hAnsi="Arial CYR" w:cs="Arial CYR"/>
                <w:i/>
                <w:sz w:val="18"/>
                <w:szCs w:val="18"/>
              </w:rPr>
              <w:t>е</w:t>
            </w:r>
          </w:p>
        </w:tc>
        <w:tc>
          <w:tcPr>
            <w:tcW w:w="4091" w:type="dxa"/>
            <w:gridSpan w:val="2"/>
            <w:shd w:val="clear" w:color="auto" w:fill="CCFFFF"/>
          </w:tcPr>
          <w:p w14:paraId="2D2AB123" w14:textId="77777777" w:rsidR="00A263AA" w:rsidRPr="00F364D3" w:rsidRDefault="00A263AA" w:rsidP="00834900">
            <w:pPr>
              <w:rPr>
                <w:i/>
                <w:sz w:val="20"/>
                <w:szCs w:val="20"/>
              </w:rPr>
            </w:pPr>
            <w:r w:rsidRPr="00F364D3">
              <w:rPr>
                <w:sz w:val="20"/>
                <w:szCs w:val="20"/>
              </w:rPr>
              <w:t xml:space="preserve">Средний срок рассмотрения заявления о </w:t>
            </w:r>
            <w:r w:rsidRPr="00F364D3">
              <w:rPr>
                <w:i/>
                <w:sz w:val="20"/>
                <w:szCs w:val="20"/>
              </w:rPr>
              <w:t>переоформлении</w:t>
            </w:r>
            <w:r w:rsidRPr="00F364D3">
              <w:rPr>
                <w:sz w:val="20"/>
                <w:szCs w:val="20"/>
              </w:rPr>
              <w:t xml:space="preserve"> и продлении срока действия лицензии</w:t>
            </w:r>
            <w:r>
              <w:rPr>
                <w:sz w:val="20"/>
                <w:szCs w:val="20"/>
              </w:rPr>
              <w:t xml:space="preserve">       </w:t>
            </w:r>
            <w:r>
              <w:rPr>
                <w:i/>
                <w:sz w:val="20"/>
                <w:szCs w:val="20"/>
              </w:rPr>
              <w:t>в рабочих днях</w:t>
            </w:r>
          </w:p>
        </w:tc>
        <w:tc>
          <w:tcPr>
            <w:tcW w:w="1188" w:type="dxa"/>
            <w:shd w:val="clear" w:color="auto" w:fill="auto"/>
          </w:tcPr>
          <w:p w14:paraId="59DA46E8" w14:textId="77777777" w:rsidR="00A263AA" w:rsidRPr="00354A4F" w:rsidRDefault="00A263AA" w:rsidP="00834900">
            <w:pPr>
              <w:jc w:val="center"/>
              <w:rPr>
                <w:sz w:val="20"/>
                <w:szCs w:val="20"/>
              </w:rPr>
            </w:pPr>
            <w:r>
              <w:rPr>
                <w:sz w:val="20"/>
                <w:szCs w:val="20"/>
              </w:rPr>
              <w:t>15,72</w:t>
            </w:r>
          </w:p>
        </w:tc>
        <w:tc>
          <w:tcPr>
            <w:tcW w:w="1260" w:type="dxa"/>
            <w:shd w:val="clear" w:color="auto" w:fill="auto"/>
          </w:tcPr>
          <w:p w14:paraId="25DF1F27" w14:textId="77777777" w:rsidR="00A263AA" w:rsidRDefault="00A263AA" w:rsidP="00834900">
            <w:pPr>
              <w:jc w:val="center"/>
              <w:rPr>
                <w:sz w:val="20"/>
                <w:szCs w:val="20"/>
              </w:rPr>
            </w:pPr>
            <w:r>
              <w:rPr>
                <w:sz w:val="20"/>
                <w:szCs w:val="20"/>
              </w:rPr>
              <w:t>15,0</w:t>
            </w:r>
          </w:p>
        </w:tc>
        <w:tc>
          <w:tcPr>
            <w:tcW w:w="3312" w:type="dxa"/>
            <w:shd w:val="clear" w:color="auto" w:fill="auto"/>
          </w:tcPr>
          <w:p w14:paraId="7BBAF215" w14:textId="77777777" w:rsidR="00A263AA" w:rsidRPr="0056753A" w:rsidRDefault="00A263AA" w:rsidP="00834900">
            <w:pPr>
              <w:jc w:val="center"/>
              <w:rPr>
                <w:color w:val="FF0000"/>
                <w:sz w:val="20"/>
                <w:szCs w:val="20"/>
              </w:rPr>
            </w:pPr>
            <w:r>
              <w:rPr>
                <w:color w:val="FF0000"/>
                <w:sz w:val="20"/>
                <w:szCs w:val="20"/>
              </w:rPr>
              <w:t>4,8</w:t>
            </w:r>
            <w:r w:rsidRPr="0056753A">
              <w:rPr>
                <w:color w:val="FF0000"/>
                <w:sz w:val="20"/>
                <w:szCs w:val="20"/>
              </w:rPr>
              <w:t>%</w:t>
            </w:r>
          </w:p>
          <w:p w14:paraId="4DE60471" w14:textId="77777777" w:rsidR="00A263AA" w:rsidRPr="0056753A" w:rsidRDefault="00A263AA" w:rsidP="00834900">
            <w:pPr>
              <w:autoSpaceDE w:val="0"/>
              <w:autoSpaceDN w:val="0"/>
              <w:adjustRightInd w:val="0"/>
              <w:rPr>
                <w:color w:val="FF0000"/>
                <w:sz w:val="20"/>
                <w:szCs w:val="20"/>
              </w:rPr>
            </w:pPr>
            <w:r w:rsidRPr="0056753A">
              <w:rPr>
                <w:color w:val="FF0000"/>
                <w:sz w:val="20"/>
                <w:szCs w:val="20"/>
              </w:rPr>
              <w:t>Срок рассмотрения заявления о переоформлении лицензии увеличился в 202</w:t>
            </w:r>
            <w:r>
              <w:rPr>
                <w:color w:val="FF0000"/>
                <w:sz w:val="20"/>
                <w:szCs w:val="20"/>
              </w:rPr>
              <w:t>1</w:t>
            </w:r>
            <w:r w:rsidRPr="0056753A">
              <w:rPr>
                <w:color w:val="FF0000"/>
                <w:sz w:val="20"/>
                <w:szCs w:val="20"/>
              </w:rPr>
              <w:t>г. по сравнению с 20</w:t>
            </w:r>
            <w:r>
              <w:rPr>
                <w:color w:val="FF0000"/>
                <w:sz w:val="20"/>
                <w:szCs w:val="20"/>
              </w:rPr>
              <w:t>20</w:t>
            </w:r>
            <w:r w:rsidRPr="0056753A">
              <w:rPr>
                <w:color w:val="FF0000"/>
                <w:sz w:val="20"/>
                <w:szCs w:val="20"/>
              </w:rPr>
              <w:t xml:space="preserve">г. </w:t>
            </w:r>
            <w:r w:rsidRPr="001209AC">
              <w:rPr>
                <w:sz w:val="20"/>
                <w:szCs w:val="20"/>
              </w:rPr>
              <w:t xml:space="preserve">Срок рассмотрения </w:t>
            </w:r>
            <w:r w:rsidRPr="001209AC">
              <w:rPr>
                <w:sz w:val="20"/>
                <w:szCs w:val="20"/>
              </w:rPr>
              <w:lastRenderedPageBreak/>
              <w:t xml:space="preserve">заявления на </w:t>
            </w:r>
            <w:r>
              <w:rPr>
                <w:sz w:val="20"/>
                <w:szCs w:val="20"/>
              </w:rPr>
              <w:t>переоформление</w:t>
            </w:r>
            <w:r w:rsidRPr="001209AC">
              <w:rPr>
                <w:sz w:val="20"/>
                <w:szCs w:val="20"/>
              </w:rPr>
              <w:t xml:space="preserve"> лицензии не нарушился</w:t>
            </w:r>
            <w:r>
              <w:rPr>
                <w:sz w:val="20"/>
                <w:szCs w:val="20"/>
              </w:rPr>
              <w:t>.</w:t>
            </w:r>
          </w:p>
        </w:tc>
      </w:tr>
      <w:tr w:rsidR="00A263AA" w14:paraId="2DF848B9" w14:textId="77777777" w:rsidTr="00834900">
        <w:trPr>
          <w:trHeight w:val="510"/>
        </w:trPr>
        <w:tc>
          <w:tcPr>
            <w:tcW w:w="517" w:type="dxa"/>
            <w:shd w:val="clear" w:color="auto" w:fill="CCFFFF"/>
          </w:tcPr>
          <w:p w14:paraId="58463C9A"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lastRenderedPageBreak/>
              <w:t>ж</w:t>
            </w:r>
          </w:p>
        </w:tc>
        <w:tc>
          <w:tcPr>
            <w:tcW w:w="4091" w:type="dxa"/>
            <w:gridSpan w:val="2"/>
            <w:shd w:val="clear" w:color="auto" w:fill="CCFFFF"/>
          </w:tcPr>
          <w:p w14:paraId="198FBDD5" w14:textId="77777777" w:rsidR="00A263AA" w:rsidRDefault="00A263AA" w:rsidP="00834900">
            <w:pPr>
              <w:rPr>
                <w:sz w:val="20"/>
                <w:szCs w:val="20"/>
              </w:rPr>
            </w:pPr>
            <w:r>
              <w:rPr>
                <w:sz w:val="20"/>
                <w:szCs w:val="20"/>
              </w:rPr>
              <w:t xml:space="preserve">   Д</w:t>
            </w:r>
            <w:r w:rsidRPr="00F364D3">
              <w:rPr>
                <w:sz w:val="20"/>
                <w:szCs w:val="20"/>
              </w:rPr>
              <w:t>оля заявлений о переоформлении лицензии или продлении срока действия лицензии, рассмотренных в установленные законодательством сроки (в процентах от общего числа заявлений</w:t>
            </w:r>
            <w:r>
              <w:rPr>
                <w:sz w:val="20"/>
                <w:szCs w:val="20"/>
              </w:rPr>
              <w:t>)</w:t>
            </w:r>
          </w:p>
        </w:tc>
        <w:tc>
          <w:tcPr>
            <w:tcW w:w="1188" w:type="dxa"/>
            <w:shd w:val="clear" w:color="auto" w:fill="auto"/>
          </w:tcPr>
          <w:p w14:paraId="3A725EB5" w14:textId="77777777" w:rsidR="00A263AA" w:rsidRDefault="00A263AA" w:rsidP="00834900">
            <w:pPr>
              <w:jc w:val="center"/>
              <w:rPr>
                <w:sz w:val="20"/>
                <w:szCs w:val="20"/>
              </w:rPr>
            </w:pPr>
            <w:r>
              <w:rPr>
                <w:sz w:val="20"/>
                <w:szCs w:val="20"/>
              </w:rPr>
              <w:t>100%</w:t>
            </w:r>
          </w:p>
        </w:tc>
        <w:tc>
          <w:tcPr>
            <w:tcW w:w="1260" w:type="dxa"/>
            <w:shd w:val="clear" w:color="auto" w:fill="auto"/>
          </w:tcPr>
          <w:p w14:paraId="50A826C9" w14:textId="77777777" w:rsidR="00A263AA" w:rsidRDefault="00A263AA" w:rsidP="00834900">
            <w:pPr>
              <w:jc w:val="center"/>
              <w:rPr>
                <w:sz w:val="20"/>
                <w:szCs w:val="20"/>
              </w:rPr>
            </w:pPr>
            <w:r>
              <w:rPr>
                <w:sz w:val="20"/>
                <w:szCs w:val="20"/>
              </w:rPr>
              <w:t>100%</w:t>
            </w:r>
          </w:p>
        </w:tc>
        <w:tc>
          <w:tcPr>
            <w:tcW w:w="3312" w:type="dxa"/>
            <w:shd w:val="clear" w:color="auto" w:fill="auto"/>
          </w:tcPr>
          <w:p w14:paraId="5DE4CF79" w14:textId="77777777" w:rsidR="00A263AA" w:rsidRDefault="00A263AA" w:rsidP="00834900">
            <w:pPr>
              <w:jc w:val="center"/>
              <w:rPr>
                <w:sz w:val="20"/>
                <w:szCs w:val="20"/>
              </w:rPr>
            </w:pPr>
            <w:r>
              <w:rPr>
                <w:sz w:val="20"/>
                <w:szCs w:val="20"/>
              </w:rPr>
              <w:t>0</w:t>
            </w:r>
          </w:p>
        </w:tc>
      </w:tr>
      <w:tr w:rsidR="00A263AA" w14:paraId="2516E8C6" w14:textId="77777777" w:rsidTr="00834900">
        <w:trPr>
          <w:trHeight w:val="510"/>
        </w:trPr>
        <w:tc>
          <w:tcPr>
            <w:tcW w:w="517" w:type="dxa"/>
            <w:shd w:val="clear" w:color="auto" w:fill="CCFFFF"/>
          </w:tcPr>
          <w:p w14:paraId="290AAD09"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t>з</w:t>
            </w:r>
          </w:p>
        </w:tc>
        <w:tc>
          <w:tcPr>
            <w:tcW w:w="4091" w:type="dxa"/>
            <w:gridSpan w:val="2"/>
            <w:shd w:val="clear" w:color="auto" w:fill="CCFFFF"/>
          </w:tcPr>
          <w:p w14:paraId="199D0538" w14:textId="77777777" w:rsidR="00A263AA" w:rsidRDefault="00A263AA" w:rsidP="00834900">
            <w:pPr>
              <w:rPr>
                <w:sz w:val="20"/>
                <w:szCs w:val="20"/>
              </w:rPr>
            </w:pPr>
            <w:r>
              <w:rPr>
                <w:sz w:val="20"/>
                <w:szCs w:val="20"/>
              </w:rPr>
              <w:t>Д</w:t>
            </w:r>
            <w:r w:rsidRPr="009F29C4">
              <w:rPr>
                <w:sz w:val="20"/>
                <w:szCs w:val="20"/>
              </w:rPr>
              <w:t xml:space="preserve">оля заявлений лицензирующего органа, направленных в органы прокуратуры, о согласовании проведения внеплановых выездных проверок, </w:t>
            </w:r>
            <w:r w:rsidRPr="008A13C6">
              <w:rPr>
                <w:sz w:val="20"/>
                <w:szCs w:val="20"/>
                <w:u w:val="single"/>
              </w:rPr>
              <w:t>в согласовании которых было отказано</w:t>
            </w:r>
            <w:r w:rsidRPr="009F29C4">
              <w:rPr>
                <w:sz w:val="20"/>
                <w:szCs w:val="20"/>
              </w:rPr>
              <w:t xml:space="preserve"> (в процентах от общего числа заявлений лицензирующего органа, нап</w:t>
            </w:r>
            <w:r>
              <w:rPr>
                <w:sz w:val="20"/>
                <w:szCs w:val="20"/>
              </w:rPr>
              <w:t>равленных в органы прокуратуры)</w:t>
            </w:r>
          </w:p>
        </w:tc>
        <w:tc>
          <w:tcPr>
            <w:tcW w:w="1188" w:type="dxa"/>
            <w:shd w:val="clear" w:color="auto" w:fill="auto"/>
          </w:tcPr>
          <w:p w14:paraId="37DDEBBE" w14:textId="77777777" w:rsidR="00A263AA" w:rsidRDefault="00A263AA" w:rsidP="00834900">
            <w:pPr>
              <w:jc w:val="center"/>
              <w:rPr>
                <w:sz w:val="20"/>
                <w:szCs w:val="20"/>
              </w:rPr>
            </w:pPr>
            <w:r>
              <w:rPr>
                <w:sz w:val="20"/>
                <w:szCs w:val="20"/>
              </w:rPr>
              <w:t>-</w:t>
            </w:r>
          </w:p>
          <w:p w14:paraId="57A9ACEB" w14:textId="77777777" w:rsidR="00A263AA" w:rsidRDefault="00A263AA" w:rsidP="00834900">
            <w:pPr>
              <w:jc w:val="center"/>
              <w:rPr>
                <w:sz w:val="20"/>
                <w:szCs w:val="20"/>
              </w:rPr>
            </w:pPr>
          </w:p>
          <w:p w14:paraId="235B857F" w14:textId="77777777" w:rsidR="00A263AA" w:rsidRDefault="00A263AA" w:rsidP="00834900">
            <w:pPr>
              <w:jc w:val="center"/>
              <w:rPr>
                <w:sz w:val="20"/>
                <w:szCs w:val="20"/>
              </w:rPr>
            </w:pPr>
          </w:p>
        </w:tc>
        <w:tc>
          <w:tcPr>
            <w:tcW w:w="1260" w:type="dxa"/>
            <w:shd w:val="clear" w:color="auto" w:fill="auto"/>
          </w:tcPr>
          <w:p w14:paraId="091D0F9D" w14:textId="77777777" w:rsidR="00A263AA" w:rsidRDefault="00A263AA" w:rsidP="00834900">
            <w:pPr>
              <w:jc w:val="center"/>
              <w:rPr>
                <w:sz w:val="20"/>
                <w:szCs w:val="20"/>
              </w:rPr>
            </w:pPr>
            <w:r>
              <w:rPr>
                <w:sz w:val="20"/>
                <w:szCs w:val="20"/>
              </w:rPr>
              <w:t>-</w:t>
            </w:r>
          </w:p>
        </w:tc>
        <w:tc>
          <w:tcPr>
            <w:tcW w:w="3312" w:type="dxa"/>
            <w:shd w:val="clear" w:color="auto" w:fill="auto"/>
          </w:tcPr>
          <w:p w14:paraId="3AECAF89" w14:textId="77777777" w:rsidR="00A263AA" w:rsidRDefault="00A263AA" w:rsidP="00834900">
            <w:pPr>
              <w:jc w:val="center"/>
              <w:rPr>
                <w:sz w:val="20"/>
                <w:szCs w:val="20"/>
              </w:rPr>
            </w:pPr>
          </w:p>
        </w:tc>
      </w:tr>
      <w:tr w:rsidR="00A263AA" w14:paraId="77427FB8" w14:textId="77777777" w:rsidTr="00834900">
        <w:trPr>
          <w:trHeight w:val="510"/>
        </w:trPr>
        <w:tc>
          <w:tcPr>
            <w:tcW w:w="517" w:type="dxa"/>
            <w:shd w:val="clear" w:color="auto" w:fill="CCFFFF"/>
          </w:tcPr>
          <w:p w14:paraId="7AECAAC6"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t>и</w:t>
            </w:r>
          </w:p>
        </w:tc>
        <w:tc>
          <w:tcPr>
            <w:tcW w:w="4091" w:type="dxa"/>
            <w:gridSpan w:val="2"/>
            <w:shd w:val="clear" w:color="auto" w:fill="CCFFFF"/>
          </w:tcPr>
          <w:p w14:paraId="64606CA2" w14:textId="77777777" w:rsidR="00A263AA" w:rsidRDefault="00A263AA" w:rsidP="00834900">
            <w:pPr>
              <w:rPr>
                <w:sz w:val="20"/>
                <w:szCs w:val="20"/>
              </w:rPr>
            </w:pPr>
            <w:r>
              <w:rPr>
                <w:sz w:val="20"/>
                <w:szCs w:val="20"/>
              </w:rPr>
              <w:t>Д</w:t>
            </w:r>
            <w:r w:rsidRPr="008A13C6">
              <w:rPr>
                <w:sz w:val="20"/>
                <w:szCs w:val="20"/>
              </w:rPr>
              <w:t>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r>
              <w:rPr>
                <w:sz w:val="20"/>
                <w:szCs w:val="20"/>
              </w:rPr>
              <w:t>)</w:t>
            </w:r>
          </w:p>
        </w:tc>
        <w:tc>
          <w:tcPr>
            <w:tcW w:w="1188" w:type="dxa"/>
            <w:shd w:val="clear" w:color="auto" w:fill="auto"/>
          </w:tcPr>
          <w:p w14:paraId="623462AF" w14:textId="77777777" w:rsidR="00A263AA" w:rsidRDefault="00A263AA" w:rsidP="00834900">
            <w:pPr>
              <w:jc w:val="center"/>
              <w:rPr>
                <w:sz w:val="20"/>
                <w:szCs w:val="20"/>
              </w:rPr>
            </w:pPr>
            <w:r>
              <w:rPr>
                <w:sz w:val="20"/>
                <w:szCs w:val="20"/>
              </w:rPr>
              <w:t>-</w:t>
            </w:r>
          </w:p>
        </w:tc>
        <w:tc>
          <w:tcPr>
            <w:tcW w:w="1260" w:type="dxa"/>
            <w:shd w:val="clear" w:color="auto" w:fill="auto"/>
          </w:tcPr>
          <w:p w14:paraId="0EBAB9A1" w14:textId="77777777" w:rsidR="00A263AA" w:rsidRDefault="00A263AA" w:rsidP="00834900">
            <w:pPr>
              <w:jc w:val="center"/>
              <w:rPr>
                <w:sz w:val="20"/>
                <w:szCs w:val="20"/>
              </w:rPr>
            </w:pPr>
            <w:r>
              <w:rPr>
                <w:sz w:val="20"/>
                <w:szCs w:val="20"/>
              </w:rPr>
              <w:t>-</w:t>
            </w:r>
          </w:p>
        </w:tc>
        <w:tc>
          <w:tcPr>
            <w:tcW w:w="3312" w:type="dxa"/>
            <w:shd w:val="clear" w:color="auto" w:fill="auto"/>
          </w:tcPr>
          <w:p w14:paraId="2C70181A" w14:textId="77777777" w:rsidR="00A263AA" w:rsidRDefault="00A263AA" w:rsidP="00834900">
            <w:pPr>
              <w:jc w:val="center"/>
              <w:rPr>
                <w:i/>
                <w:sz w:val="18"/>
                <w:szCs w:val="18"/>
              </w:rPr>
            </w:pPr>
            <w:r w:rsidRPr="001D2D4D">
              <w:rPr>
                <w:i/>
                <w:sz w:val="18"/>
                <w:szCs w:val="18"/>
              </w:rPr>
              <w:t xml:space="preserve"> </w:t>
            </w:r>
          </w:p>
          <w:p w14:paraId="63596347" w14:textId="77777777" w:rsidR="00A263AA" w:rsidRDefault="00A263AA" w:rsidP="00834900">
            <w:pPr>
              <w:jc w:val="center"/>
              <w:rPr>
                <w:sz w:val="20"/>
                <w:szCs w:val="20"/>
              </w:rPr>
            </w:pPr>
          </w:p>
        </w:tc>
      </w:tr>
      <w:tr w:rsidR="00A263AA" w14:paraId="4668A3A5" w14:textId="77777777" w:rsidTr="00834900">
        <w:trPr>
          <w:trHeight w:val="510"/>
        </w:trPr>
        <w:tc>
          <w:tcPr>
            <w:tcW w:w="517" w:type="dxa"/>
            <w:shd w:val="clear" w:color="auto" w:fill="CCFFFF"/>
          </w:tcPr>
          <w:p w14:paraId="4D2AA962"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t>к</w:t>
            </w:r>
          </w:p>
        </w:tc>
        <w:tc>
          <w:tcPr>
            <w:tcW w:w="4091" w:type="dxa"/>
            <w:gridSpan w:val="2"/>
            <w:shd w:val="clear" w:color="auto" w:fill="CCFFFF"/>
          </w:tcPr>
          <w:p w14:paraId="78B0F209" w14:textId="77777777" w:rsidR="00A263AA" w:rsidRPr="00DC2792" w:rsidRDefault="00A263AA" w:rsidP="00834900">
            <w:pPr>
              <w:rPr>
                <w:sz w:val="20"/>
                <w:szCs w:val="20"/>
              </w:rPr>
            </w:pPr>
            <w:r w:rsidRPr="00DC2792">
              <w:rPr>
                <w:sz w:val="20"/>
                <w:szCs w:val="20"/>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1188" w:type="dxa"/>
            <w:shd w:val="clear" w:color="auto" w:fill="auto"/>
          </w:tcPr>
          <w:p w14:paraId="37423084" w14:textId="77777777" w:rsidR="00A263AA" w:rsidRDefault="00A263AA" w:rsidP="00834900">
            <w:pPr>
              <w:jc w:val="center"/>
              <w:rPr>
                <w:sz w:val="20"/>
                <w:szCs w:val="20"/>
              </w:rPr>
            </w:pPr>
            <w:r>
              <w:rPr>
                <w:sz w:val="20"/>
                <w:szCs w:val="20"/>
              </w:rPr>
              <w:t>-</w:t>
            </w:r>
          </w:p>
        </w:tc>
        <w:tc>
          <w:tcPr>
            <w:tcW w:w="1260" w:type="dxa"/>
            <w:shd w:val="clear" w:color="auto" w:fill="auto"/>
          </w:tcPr>
          <w:p w14:paraId="014C0B81" w14:textId="77777777" w:rsidR="00A263AA" w:rsidRDefault="00A263AA" w:rsidP="00834900">
            <w:pPr>
              <w:jc w:val="center"/>
              <w:rPr>
                <w:sz w:val="20"/>
                <w:szCs w:val="20"/>
              </w:rPr>
            </w:pPr>
            <w:r>
              <w:rPr>
                <w:sz w:val="20"/>
                <w:szCs w:val="20"/>
              </w:rPr>
              <w:t>-</w:t>
            </w:r>
          </w:p>
        </w:tc>
        <w:tc>
          <w:tcPr>
            <w:tcW w:w="3312" w:type="dxa"/>
            <w:shd w:val="clear" w:color="auto" w:fill="auto"/>
          </w:tcPr>
          <w:p w14:paraId="5D61F548" w14:textId="77777777" w:rsidR="00A263AA" w:rsidRDefault="00A263AA" w:rsidP="00834900">
            <w:pPr>
              <w:jc w:val="center"/>
              <w:rPr>
                <w:i/>
                <w:sz w:val="18"/>
                <w:szCs w:val="18"/>
              </w:rPr>
            </w:pPr>
            <w:r w:rsidRPr="001D2D4D">
              <w:rPr>
                <w:i/>
                <w:sz w:val="18"/>
                <w:szCs w:val="18"/>
              </w:rPr>
              <w:t xml:space="preserve"> </w:t>
            </w:r>
          </w:p>
          <w:p w14:paraId="120BA573" w14:textId="77777777" w:rsidR="00A263AA" w:rsidRDefault="00A263AA" w:rsidP="00834900">
            <w:pPr>
              <w:jc w:val="center"/>
              <w:rPr>
                <w:i/>
                <w:sz w:val="18"/>
                <w:szCs w:val="18"/>
              </w:rPr>
            </w:pPr>
          </w:p>
          <w:p w14:paraId="63D6E6FF" w14:textId="77777777" w:rsidR="00A263AA" w:rsidRDefault="00A263AA" w:rsidP="00834900">
            <w:pPr>
              <w:jc w:val="center"/>
              <w:rPr>
                <w:sz w:val="20"/>
                <w:szCs w:val="20"/>
              </w:rPr>
            </w:pPr>
          </w:p>
        </w:tc>
      </w:tr>
      <w:tr w:rsidR="00A263AA" w14:paraId="6BA94EFA" w14:textId="77777777" w:rsidTr="00834900">
        <w:trPr>
          <w:trHeight w:val="1334"/>
        </w:trPr>
        <w:tc>
          <w:tcPr>
            <w:tcW w:w="517" w:type="dxa"/>
            <w:shd w:val="clear" w:color="auto" w:fill="CCFFFF"/>
          </w:tcPr>
          <w:p w14:paraId="375AD712"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t>л</w:t>
            </w:r>
          </w:p>
        </w:tc>
        <w:tc>
          <w:tcPr>
            <w:tcW w:w="4091" w:type="dxa"/>
            <w:gridSpan w:val="2"/>
            <w:shd w:val="clear" w:color="auto" w:fill="CCFFFF"/>
          </w:tcPr>
          <w:p w14:paraId="32F9971F" w14:textId="77777777" w:rsidR="00A263AA" w:rsidRDefault="00A263AA" w:rsidP="00834900">
            <w:pPr>
              <w:rPr>
                <w:sz w:val="20"/>
                <w:szCs w:val="20"/>
              </w:rPr>
            </w:pPr>
            <w:r w:rsidRPr="00333532">
              <w:rPr>
                <w:sz w:val="20"/>
                <w:szCs w:val="20"/>
              </w:rPr>
              <w:t>Доля проверок, проведенных лицензирующим органом, результаты которых признаны</w:t>
            </w:r>
            <w:r w:rsidRPr="00333532">
              <w:rPr>
                <w:sz w:val="22"/>
                <w:szCs w:val="22"/>
              </w:rPr>
              <w:t xml:space="preserve"> </w:t>
            </w:r>
            <w:r w:rsidRPr="00950DC4">
              <w:rPr>
                <w:sz w:val="20"/>
                <w:szCs w:val="20"/>
              </w:rPr>
              <w:t>недействительными</w:t>
            </w:r>
            <w:r w:rsidRPr="00333532">
              <w:rPr>
                <w:sz w:val="22"/>
                <w:szCs w:val="22"/>
              </w:rPr>
              <w:t xml:space="preserve"> (</w:t>
            </w:r>
            <w:r w:rsidRPr="00333532">
              <w:rPr>
                <w:sz w:val="20"/>
                <w:szCs w:val="20"/>
              </w:rPr>
              <w:t>в процентах от общего числа проведенных проверок</w:t>
            </w:r>
            <w:r>
              <w:rPr>
                <w:sz w:val="22"/>
                <w:szCs w:val="22"/>
              </w:rPr>
              <w:t>)</w:t>
            </w:r>
          </w:p>
        </w:tc>
        <w:tc>
          <w:tcPr>
            <w:tcW w:w="1188" w:type="dxa"/>
            <w:shd w:val="clear" w:color="auto" w:fill="auto"/>
          </w:tcPr>
          <w:p w14:paraId="2C2741FA" w14:textId="77777777" w:rsidR="00A263AA" w:rsidRPr="00D06716" w:rsidRDefault="00A263AA" w:rsidP="00834900">
            <w:pPr>
              <w:jc w:val="center"/>
              <w:rPr>
                <w:sz w:val="20"/>
                <w:szCs w:val="20"/>
              </w:rPr>
            </w:pPr>
            <w:r>
              <w:rPr>
                <w:sz w:val="20"/>
                <w:szCs w:val="20"/>
              </w:rPr>
              <w:t>-</w:t>
            </w:r>
          </w:p>
        </w:tc>
        <w:tc>
          <w:tcPr>
            <w:tcW w:w="1260" w:type="dxa"/>
            <w:shd w:val="clear" w:color="auto" w:fill="auto"/>
          </w:tcPr>
          <w:p w14:paraId="791AD2C2" w14:textId="77777777" w:rsidR="00A263AA" w:rsidRPr="00D06716" w:rsidRDefault="00A263AA" w:rsidP="00834900">
            <w:pPr>
              <w:jc w:val="center"/>
              <w:rPr>
                <w:sz w:val="20"/>
                <w:szCs w:val="20"/>
              </w:rPr>
            </w:pPr>
            <w:r>
              <w:rPr>
                <w:sz w:val="20"/>
                <w:szCs w:val="20"/>
              </w:rPr>
              <w:t>-</w:t>
            </w:r>
          </w:p>
        </w:tc>
        <w:tc>
          <w:tcPr>
            <w:tcW w:w="3312" w:type="dxa"/>
            <w:shd w:val="clear" w:color="auto" w:fill="auto"/>
          </w:tcPr>
          <w:p w14:paraId="15144C7F" w14:textId="77777777" w:rsidR="00A263AA" w:rsidRDefault="00A263AA" w:rsidP="00834900">
            <w:pPr>
              <w:jc w:val="center"/>
              <w:rPr>
                <w:sz w:val="20"/>
                <w:szCs w:val="20"/>
              </w:rPr>
            </w:pPr>
          </w:p>
          <w:p w14:paraId="46C76CE4" w14:textId="77777777" w:rsidR="00A263AA" w:rsidRDefault="00A263AA" w:rsidP="00834900">
            <w:pPr>
              <w:jc w:val="center"/>
              <w:rPr>
                <w:sz w:val="20"/>
                <w:szCs w:val="20"/>
              </w:rPr>
            </w:pPr>
          </w:p>
        </w:tc>
      </w:tr>
      <w:tr w:rsidR="00A263AA" w14:paraId="59A8D16A" w14:textId="77777777" w:rsidTr="00834900">
        <w:trPr>
          <w:trHeight w:val="510"/>
        </w:trPr>
        <w:tc>
          <w:tcPr>
            <w:tcW w:w="517" w:type="dxa"/>
            <w:shd w:val="clear" w:color="auto" w:fill="CCFFFF"/>
          </w:tcPr>
          <w:p w14:paraId="5947B917"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t>м</w:t>
            </w:r>
          </w:p>
        </w:tc>
        <w:tc>
          <w:tcPr>
            <w:tcW w:w="4091" w:type="dxa"/>
            <w:gridSpan w:val="2"/>
            <w:shd w:val="clear" w:color="auto" w:fill="CCFFFF"/>
          </w:tcPr>
          <w:p w14:paraId="2F949354" w14:textId="77777777" w:rsidR="00A263AA" w:rsidRDefault="00A263AA" w:rsidP="00834900">
            <w:pPr>
              <w:rPr>
                <w:sz w:val="20"/>
                <w:szCs w:val="20"/>
              </w:rPr>
            </w:pPr>
            <w:r w:rsidRPr="00D5767F">
              <w:rPr>
                <w:sz w:val="20"/>
                <w:szCs w:val="20"/>
              </w:rPr>
              <w:t>Доля проверок, проведенных лицензирующим органом с нарушением требований законодательства</w:t>
            </w:r>
            <w:r w:rsidRPr="00D5767F">
              <w:rPr>
                <w:sz w:val="22"/>
                <w:szCs w:val="22"/>
              </w:rPr>
              <w:t xml:space="preserve"> </w:t>
            </w:r>
            <w:r w:rsidRPr="00950DC4">
              <w:rPr>
                <w:sz w:val="20"/>
                <w:szCs w:val="20"/>
              </w:rPr>
              <w:t>РФ</w:t>
            </w:r>
            <w:r w:rsidRPr="00D5767F">
              <w:rPr>
                <w:sz w:val="22"/>
                <w:szCs w:val="22"/>
              </w:rPr>
              <w:t xml:space="preserve"> </w:t>
            </w:r>
            <w:r w:rsidRPr="00E91A69">
              <w:rPr>
                <w:sz w:val="20"/>
                <w:szCs w:val="20"/>
              </w:rPr>
              <w:t>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1188" w:type="dxa"/>
            <w:shd w:val="clear" w:color="auto" w:fill="auto"/>
          </w:tcPr>
          <w:p w14:paraId="71E4CD89" w14:textId="77777777" w:rsidR="00A263AA" w:rsidRDefault="00A263AA" w:rsidP="00834900">
            <w:pPr>
              <w:jc w:val="center"/>
              <w:rPr>
                <w:sz w:val="20"/>
                <w:szCs w:val="20"/>
              </w:rPr>
            </w:pPr>
            <w:r>
              <w:rPr>
                <w:sz w:val="20"/>
                <w:szCs w:val="20"/>
              </w:rPr>
              <w:t>-</w:t>
            </w:r>
          </w:p>
        </w:tc>
        <w:tc>
          <w:tcPr>
            <w:tcW w:w="1260" w:type="dxa"/>
            <w:shd w:val="clear" w:color="auto" w:fill="auto"/>
          </w:tcPr>
          <w:p w14:paraId="71AE00AB" w14:textId="77777777" w:rsidR="00A263AA" w:rsidRDefault="00A263AA" w:rsidP="00834900">
            <w:pPr>
              <w:jc w:val="center"/>
              <w:rPr>
                <w:sz w:val="20"/>
                <w:szCs w:val="20"/>
              </w:rPr>
            </w:pPr>
            <w:r>
              <w:rPr>
                <w:sz w:val="20"/>
                <w:szCs w:val="20"/>
              </w:rPr>
              <w:t>-</w:t>
            </w:r>
          </w:p>
        </w:tc>
        <w:tc>
          <w:tcPr>
            <w:tcW w:w="3312" w:type="dxa"/>
            <w:shd w:val="clear" w:color="auto" w:fill="auto"/>
          </w:tcPr>
          <w:p w14:paraId="3B5CA2B9" w14:textId="77777777" w:rsidR="00A263AA" w:rsidRDefault="00A263AA" w:rsidP="00834900">
            <w:pPr>
              <w:jc w:val="center"/>
              <w:rPr>
                <w:sz w:val="20"/>
                <w:szCs w:val="20"/>
              </w:rPr>
            </w:pPr>
          </w:p>
          <w:p w14:paraId="6BDB5DC2" w14:textId="77777777" w:rsidR="00A263AA" w:rsidRDefault="00A263AA" w:rsidP="00834900">
            <w:pPr>
              <w:jc w:val="center"/>
              <w:rPr>
                <w:sz w:val="20"/>
                <w:szCs w:val="20"/>
              </w:rPr>
            </w:pPr>
          </w:p>
        </w:tc>
      </w:tr>
      <w:tr w:rsidR="00A263AA" w:rsidRPr="00880FC6" w14:paraId="505ADA86" w14:textId="77777777" w:rsidTr="00834900">
        <w:trPr>
          <w:trHeight w:val="510"/>
        </w:trPr>
        <w:tc>
          <w:tcPr>
            <w:tcW w:w="517" w:type="dxa"/>
            <w:shd w:val="clear" w:color="auto" w:fill="CCFFFF"/>
          </w:tcPr>
          <w:p w14:paraId="3C76A5C0"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t>н</w:t>
            </w:r>
          </w:p>
        </w:tc>
        <w:tc>
          <w:tcPr>
            <w:tcW w:w="4091" w:type="dxa"/>
            <w:gridSpan w:val="2"/>
            <w:shd w:val="clear" w:color="auto" w:fill="CCFFFF"/>
          </w:tcPr>
          <w:p w14:paraId="2EC19336" w14:textId="77777777" w:rsidR="00A263AA" w:rsidRPr="00F54341" w:rsidRDefault="00A263AA" w:rsidP="00834900">
            <w:pPr>
              <w:rPr>
                <w:sz w:val="20"/>
                <w:szCs w:val="20"/>
              </w:rPr>
            </w:pPr>
            <w:r w:rsidRPr="00F54341">
              <w:rPr>
                <w:sz w:val="20"/>
                <w:szCs w:val="20"/>
              </w:rPr>
              <w:t>Доля лицензиатов, в отношении которых лицензирующим органом были проведены проверки (в процентах от общего количества лицензиатов)</w:t>
            </w:r>
          </w:p>
        </w:tc>
        <w:tc>
          <w:tcPr>
            <w:tcW w:w="1188" w:type="dxa"/>
            <w:shd w:val="clear" w:color="auto" w:fill="auto"/>
          </w:tcPr>
          <w:p w14:paraId="53395E00" w14:textId="77777777" w:rsidR="00A263AA" w:rsidRPr="00F54341" w:rsidRDefault="00A263AA" w:rsidP="00834900">
            <w:pPr>
              <w:jc w:val="center"/>
              <w:rPr>
                <w:sz w:val="22"/>
                <w:szCs w:val="22"/>
              </w:rPr>
            </w:pPr>
            <w:r>
              <w:rPr>
                <w:sz w:val="22"/>
                <w:szCs w:val="22"/>
              </w:rPr>
              <w:t>-</w:t>
            </w:r>
          </w:p>
        </w:tc>
        <w:tc>
          <w:tcPr>
            <w:tcW w:w="1260" w:type="dxa"/>
            <w:shd w:val="clear" w:color="auto" w:fill="auto"/>
          </w:tcPr>
          <w:p w14:paraId="5AD8089B" w14:textId="77777777" w:rsidR="00A263AA" w:rsidRPr="00F54341" w:rsidRDefault="00A263AA" w:rsidP="00834900">
            <w:pPr>
              <w:jc w:val="center"/>
              <w:rPr>
                <w:sz w:val="22"/>
                <w:szCs w:val="22"/>
              </w:rPr>
            </w:pPr>
            <w:r>
              <w:rPr>
                <w:sz w:val="22"/>
                <w:szCs w:val="22"/>
              </w:rPr>
              <w:t>-</w:t>
            </w:r>
          </w:p>
        </w:tc>
        <w:tc>
          <w:tcPr>
            <w:tcW w:w="3312" w:type="dxa"/>
            <w:shd w:val="clear" w:color="auto" w:fill="auto"/>
          </w:tcPr>
          <w:p w14:paraId="2CCEFDA6" w14:textId="77777777" w:rsidR="00A263AA" w:rsidRPr="00221C26" w:rsidRDefault="00A263AA" w:rsidP="00834900">
            <w:pPr>
              <w:rPr>
                <w:sz w:val="20"/>
                <w:szCs w:val="20"/>
              </w:rPr>
            </w:pPr>
          </w:p>
          <w:p w14:paraId="1BE58CE4" w14:textId="77777777" w:rsidR="00A263AA" w:rsidRPr="00F54341" w:rsidRDefault="00A263AA" w:rsidP="00834900">
            <w:pPr>
              <w:jc w:val="center"/>
              <w:rPr>
                <w:sz w:val="20"/>
                <w:szCs w:val="20"/>
              </w:rPr>
            </w:pPr>
          </w:p>
        </w:tc>
      </w:tr>
      <w:tr w:rsidR="00A263AA" w14:paraId="2A33FCD1" w14:textId="77777777" w:rsidTr="00834900">
        <w:trPr>
          <w:trHeight w:val="510"/>
        </w:trPr>
        <w:tc>
          <w:tcPr>
            <w:tcW w:w="517" w:type="dxa"/>
            <w:shd w:val="clear" w:color="auto" w:fill="CCFFFF"/>
          </w:tcPr>
          <w:p w14:paraId="487E1C66"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t>о</w:t>
            </w:r>
          </w:p>
        </w:tc>
        <w:tc>
          <w:tcPr>
            <w:tcW w:w="4091" w:type="dxa"/>
            <w:gridSpan w:val="2"/>
            <w:shd w:val="clear" w:color="auto" w:fill="CCFFFF"/>
          </w:tcPr>
          <w:p w14:paraId="2914471A" w14:textId="77777777" w:rsidR="00A263AA" w:rsidRPr="003C73B1" w:rsidRDefault="00A263AA" w:rsidP="00834900">
            <w:pPr>
              <w:rPr>
                <w:sz w:val="20"/>
                <w:szCs w:val="20"/>
              </w:rPr>
            </w:pPr>
            <w:r w:rsidRPr="003C73B1">
              <w:rPr>
                <w:sz w:val="20"/>
                <w:szCs w:val="20"/>
              </w:rPr>
              <w:t>Среднее количество проверок, проведенных в отношении одного лицензиата за отчетный период</w:t>
            </w:r>
          </w:p>
        </w:tc>
        <w:tc>
          <w:tcPr>
            <w:tcW w:w="1188" w:type="dxa"/>
            <w:shd w:val="clear" w:color="auto" w:fill="auto"/>
          </w:tcPr>
          <w:p w14:paraId="09F88651" w14:textId="77777777" w:rsidR="00A263AA" w:rsidRPr="00127BAD" w:rsidRDefault="00A263AA" w:rsidP="00834900">
            <w:pPr>
              <w:jc w:val="center"/>
              <w:rPr>
                <w:sz w:val="20"/>
                <w:szCs w:val="20"/>
              </w:rPr>
            </w:pPr>
            <w:r>
              <w:rPr>
                <w:sz w:val="20"/>
                <w:szCs w:val="20"/>
              </w:rPr>
              <w:t>-</w:t>
            </w:r>
          </w:p>
        </w:tc>
        <w:tc>
          <w:tcPr>
            <w:tcW w:w="1260" w:type="dxa"/>
            <w:shd w:val="clear" w:color="auto" w:fill="auto"/>
          </w:tcPr>
          <w:p w14:paraId="1E458B0C" w14:textId="77777777" w:rsidR="00A263AA" w:rsidRPr="00127BAD" w:rsidRDefault="00A263AA" w:rsidP="00834900">
            <w:pPr>
              <w:jc w:val="center"/>
              <w:rPr>
                <w:sz w:val="20"/>
                <w:szCs w:val="20"/>
              </w:rPr>
            </w:pPr>
            <w:r>
              <w:rPr>
                <w:sz w:val="20"/>
                <w:szCs w:val="20"/>
              </w:rPr>
              <w:t>-</w:t>
            </w:r>
          </w:p>
        </w:tc>
        <w:tc>
          <w:tcPr>
            <w:tcW w:w="3312" w:type="dxa"/>
            <w:shd w:val="clear" w:color="auto" w:fill="auto"/>
          </w:tcPr>
          <w:p w14:paraId="6CF418FC" w14:textId="77777777" w:rsidR="00A263AA" w:rsidRDefault="00A263AA" w:rsidP="00834900">
            <w:pPr>
              <w:jc w:val="center"/>
              <w:rPr>
                <w:sz w:val="20"/>
                <w:szCs w:val="20"/>
              </w:rPr>
            </w:pPr>
          </w:p>
          <w:p w14:paraId="6B6F5C47" w14:textId="77777777" w:rsidR="00A263AA" w:rsidRPr="00127BAD" w:rsidRDefault="00A263AA" w:rsidP="00834900">
            <w:pPr>
              <w:jc w:val="center"/>
              <w:rPr>
                <w:sz w:val="20"/>
                <w:szCs w:val="20"/>
              </w:rPr>
            </w:pPr>
          </w:p>
        </w:tc>
      </w:tr>
      <w:tr w:rsidR="00A263AA" w14:paraId="230D022A" w14:textId="77777777" w:rsidTr="00834900">
        <w:trPr>
          <w:trHeight w:val="510"/>
        </w:trPr>
        <w:tc>
          <w:tcPr>
            <w:tcW w:w="517" w:type="dxa"/>
            <w:shd w:val="clear" w:color="auto" w:fill="CCFFFF"/>
          </w:tcPr>
          <w:p w14:paraId="27769C7E"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t>п</w:t>
            </w:r>
          </w:p>
        </w:tc>
        <w:tc>
          <w:tcPr>
            <w:tcW w:w="4091" w:type="dxa"/>
            <w:gridSpan w:val="2"/>
            <w:shd w:val="clear" w:color="auto" w:fill="CCFFFF"/>
          </w:tcPr>
          <w:p w14:paraId="0C5E5AF4" w14:textId="77777777" w:rsidR="00A263AA" w:rsidRDefault="00A263AA" w:rsidP="00834900">
            <w:pPr>
              <w:rPr>
                <w:sz w:val="20"/>
                <w:szCs w:val="20"/>
              </w:rPr>
            </w:pPr>
            <w:r>
              <w:rPr>
                <w:color w:val="0000FF"/>
                <w:sz w:val="20"/>
                <w:szCs w:val="20"/>
              </w:rPr>
              <w:t>Д</w:t>
            </w:r>
            <w:r w:rsidRPr="00805CFA">
              <w:rPr>
                <w:color w:val="0000FF"/>
                <w:sz w:val="20"/>
                <w:szCs w:val="20"/>
              </w:rPr>
              <w:t>оля проверок, по итогам которых выявлены правонарушения (в процентах от общего числа</w:t>
            </w:r>
            <w:r w:rsidRPr="00805CFA">
              <w:rPr>
                <w:sz w:val="20"/>
                <w:szCs w:val="20"/>
              </w:rPr>
              <w:t xml:space="preserve"> проведенных п</w:t>
            </w:r>
            <w:r>
              <w:rPr>
                <w:sz w:val="20"/>
                <w:szCs w:val="20"/>
              </w:rPr>
              <w:t>лановых и внеплановых проверок)</w:t>
            </w:r>
          </w:p>
        </w:tc>
        <w:tc>
          <w:tcPr>
            <w:tcW w:w="1188" w:type="dxa"/>
            <w:shd w:val="clear" w:color="auto" w:fill="auto"/>
          </w:tcPr>
          <w:p w14:paraId="1AD3F991" w14:textId="77777777" w:rsidR="00A263AA" w:rsidRPr="00F54341" w:rsidRDefault="00A263AA" w:rsidP="00834900">
            <w:pPr>
              <w:jc w:val="center"/>
              <w:rPr>
                <w:sz w:val="20"/>
                <w:szCs w:val="20"/>
                <w:highlight w:val="yellow"/>
              </w:rPr>
            </w:pPr>
            <w:r>
              <w:rPr>
                <w:sz w:val="20"/>
                <w:szCs w:val="20"/>
              </w:rPr>
              <w:t>-</w:t>
            </w:r>
          </w:p>
        </w:tc>
        <w:tc>
          <w:tcPr>
            <w:tcW w:w="1260" w:type="dxa"/>
            <w:shd w:val="clear" w:color="auto" w:fill="auto"/>
          </w:tcPr>
          <w:p w14:paraId="5119E89F" w14:textId="77777777" w:rsidR="00A263AA" w:rsidRPr="00BB7BC4" w:rsidRDefault="00A263AA" w:rsidP="00834900">
            <w:pPr>
              <w:jc w:val="center"/>
              <w:rPr>
                <w:sz w:val="20"/>
                <w:szCs w:val="20"/>
              </w:rPr>
            </w:pPr>
            <w:r>
              <w:rPr>
                <w:sz w:val="20"/>
                <w:szCs w:val="20"/>
              </w:rPr>
              <w:t>-</w:t>
            </w:r>
          </w:p>
        </w:tc>
        <w:tc>
          <w:tcPr>
            <w:tcW w:w="3312" w:type="dxa"/>
            <w:shd w:val="clear" w:color="auto" w:fill="auto"/>
          </w:tcPr>
          <w:p w14:paraId="69FDF766" w14:textId="77777777" w:rsidR="00A263AA" w:rsidRDefault="00A263AA" w:rsidP="00834900">
            <w:pPr>
              <w:jc w:val="center"/>
              <w:rPr>
                <w:sz w:val="20"/>
                <w:szCs w:val="20"/>
              </w:rPr>
            </w:pPr>
          </w:p>
          <w:p w14:paraId="4F08E383" w14:textId="77777777" w:rsidR="00A263AA" w:rsidRPr="00F54341" w:rsidRDefault="00A263AA" w:rsidP="00834900">
            <w:pPr>
              <w:jc w:val="center"/>
              <w:rPr>
                <w:sz w:val="20"/>
                <w:szCs w:val="20"/>
              </w:rPr>
            </w:pPr>
          </w:p>
        </w:tc>
      </w:tr>
      <w:tr w:rsidR="00A263AA" w:rsidRPr="00BA486C" w14:paraId="2F3BB56D" w14:textId="77777777" w:rsidTr="00834900">
        <w:trPr>
          <w:trHeight w:val="510"/>
        </w:trPr>
        <w:tc>
          <w:tcPr>
            <w:tcW w:w="517" w:type="dxa"/>
            <w:shd w:val="clear" w:color="auto" w:fill="CCFFFF"/>
          </w:tcPr>
          <w:p w14:paraId="4518DC79"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t>р</w:t>
            </w:r>
          </w:p>
        </w:tc>
        <w:tc>
          <w:tcPr>
            <w:tcW w:w="4091" w:type="dxa"/>
            <w:gridSpan w:val="2"/>
            <w:shd w:val="clear" w:color="auto" w:fill="CCFFFF"/>
          </w:tcPr>
          <w:p w14:paraId="65CEF847" w14:textId="77777777" w:rsidR="00A263AA" w:rsidRPr="005346F7" w:rsidRDefault="00A263AA" w:rsidP="00834900">
            <w:pPr>
              <w:rPr>
                <w:sz w:val="20"/>
                <w:szCs w:val="20"/>
              </w:rPr>
            </w:pPr>
            <w:r w:rsidRPr="005346F7">
              <w:rPr>
                <w:sz w:val="20"/>
                <w:szCs w:val="20"/>
              </w:rPr>
              <w:t>Количество грубых нарушений лицензионных требований, выявленных по результатам проверок лицензиатов</w:t>
            </w:r>
          </w:p>
        </w:tc>
        <w:tc>
          <w:tcPr>
            <w:tcW w:w="1188" w:type="dxa"/>
            <w:shd w:val="clear" w:color="auto" w:fill="auto"/>
          </w:tcPr>
          <w:p w14:paraId="5017B254" w14:textId="77777777" w:rsidR="00A263AA" w:rsidRPr="00AC3229" w:rsidRDefault="00A263AA" w:rsidP="00834900">
            <w:pPr>
              <w:jc w:val="center"/>
              <w:rPr>
                <w:sz w:val="20"/>
                <w:szCs w:val="20"/>
              </w:rPr>
            </w:pPr>
            <w:r>
              <w:rPr>
                <w:sz w:val="20"/>
                <w:szCs w:val="20"/>
              </w:rPr>
              <w:t>-</w:t>
            </w:r>
          </w:p>
        </w:tc>
        <w:tc>
          <w:tcPr>
            <w:tcW w:w="1260" w:type="dxa"/>
            <w:shd w:val="clear" w:color="auto" w:fill="auto"/>
          </w:tcPr>
          <w:p w14:paraId="382127FE" w14:textId="77777777" w:rsidR="00A263AA" w:rsidRPr="00AC3229" w:rsidRDefault="00A263AA" w:rsidP="00834900">
            <w:pPr>
              <w:jc w:val="center"/>
              <w:rPr>
                <w:sz w:val="20"/>
                <w:szCs w:val="20"/>
              </w:rPr>
            </w:pPr>
            <w:r>
              <w:rPr>
                <w:sz w:val="20"/>
                <w:szCs w:val="20"/>
              </w:rPr>
              <w:t>-</w:t>
            </w:r>
          </w:p>
        </w:tc>
        <w:tc>
          <w:tcPr>
            <w:tcW w:w="3312" w:type="dxa"/>
            <w:shd w:val="clear" w:color="auto" w:fill="auto"/>
          </w:tcPr>
          <w:p w14:paraId="6B080F31" w14:textId="77777777" w:rsidR="00A263AA" w:rsidRPr="00010345" w:rsidRDefault="00A263AA" w:rsidP="00834900">
            <w:pPr>
              <w:jc w:val="center"/>
              <w:rPr>
                <w:sz w:val="20"/>
                <w:szCs w:val="20"/>
              </w:rPr>
            </w:pPr>
          </w:p>
        </w:tc>
      </w:tr>
      <w:tr w:rsidR="00A263AA" w14:paraId="60742BA8" w14:textId="77777777" w:rsidTr="00834900">
        <w:trPr>
          <w:trHeight w:val="510"/>
        </w:trPr>
        <w:tc>
          <w:tcPr>
            <w:tcW w:w="517" w:type="dxa"/>
            <w:shd w:val="clear" w:color="auto" w:fill="CCFFFF"/>
          </w:tcPr>
          <w:p w14:paraId="20ABDC5C" w14:textId="77777777" w:rsidR="00A263AA" w:rsidRPr="00E209E0" w:rsidRDefault="00A263AA" w:rsidP="00834900">
            <w:pPr>
              <w:jc w:val="center"/>
              <w:rPr>
                <w:rFonts w:ascii="Arial CYR" w:hAnsi="Arial CYR" w:cs="Arial CYR"/>
                <w:i/>
                <w:sz w:val="18"/>
                <w:szCs w:val="18"/>
              </w:rPr>
            </w:pPr>
            <w:r>
              <w:rPr>
                <w:rFonts w:ascii="Arial CYR" w:hAnsi="Arial CYR" w:cs="Arial CYR"/>
                <w:i/>
                <w:sz w:val="18"/>
                <w:szCs w:val="18"/>
              </w:rPr>
              <w:t>с</w:t>
            </w:r>
          </w:p>
        </w:tc>
        <w:tc>
          <w:tcPr>
            <w:tcW w:w="4091" w:type="dxa"/>
            <w:gridSpan w:val="2"/>
            <w:shd w:val="clear" w:color="auto" w:fill="CCFFFF"/>
          </w:tcPr>
          <w:p w14:paraId="7C316D04" w14:textId="77777777" w:rsidR="00A263AA" w:rsidRPr="00AB4530" w:rsidRDefault="00A263AA" w:rsidP="00834900">
            <w:pPr>
              <w:rPr>
                <w:sz w:val="20"/>
                <w:szCs w:val="20"/>
              </w:rPr>
            </w:pPr>
            <w:r>
              <w:rPr>
                <w:sz w:val="20"/>
                <w:szCs w:val="20"/>
              </w:rPr>
              <w:t>К</w:t>
            </w:r>
            <w:r w:rsidRPr="00AB4530">
              <w:rPr>
                <w:sz w:val="20"/>
                <w:szCs w:val="20"/>
              </w:rPr>
              <w:t>оличество грубых нарушений лицензионных требований, повлекших причинение вреда жизни и здоровью граждан</w:t>
            </w:r>
          </w:p>
        </w:tc>
        <w:tc>
          <w:tcPr>
            <w:tcW w:w="1188" w:type="dxa"/>
            <w:shd w:val="clear" w:color="auto" w:fill="auto"/>
          </w:tcPr>
          <w:p w14:paraId="0F302A1E" w14:textId="77777777" w:rsidR="00A263AA" w:rsidRDefault="00A263AA" w:rsidP="00834900">
            <w:pPr>
              <w:jc w:val="center"/>
              <w:rPr>
                <w:sz w:val="20"/>
                <w:szCs w:val="20"/>
              </w:rPr>
            </w:pPr>
            <w:r>
              <w:rPr>
                <w:sz w:val="20"/>
                <w:szCs w:val="20"/>
              </w:rPr>
              <w:t>-</w:t>
            </w:r>
          </w:p>
        </w:tc>
        <w:tc>
          <w:tcPr>
            <w:tcW w:w="1260" w:type="dxa"/>
            <w:shd w:val="clear" w:color="auto" w:fill="auto"/>
          </w:tcPr>
          <w:p w14:paraId="45CC7785" w14:textId="77777777" w:rsidR="00A263AA" w:rsidRDefault="00A263AA" w:rsidP="00834900">
            <w:pPr>
              <w:jc w:val="center"/>
              <w:rPr>
                <w:sz w:val="20"/>
                <w:szCs w:val="20"/>
              </w:rPr>
            </w:pPr>
            <w:r>
              <w:rPr>
                <w:sz w:val="20"/>
                <w:szCs w:val="20"/>
              </w:rPr>
              <w:t>-</w:t>
            </w:r>
          </w:p>
        </w:tc>
        <w:tc>
          <w:tcPr>
            <w:tcW w:w="3312" w:type="dxa"/>
            <w:shd w:val="clear" w:color="auto" w:fill="auto"/>
          </w:tcPr>
          <w:p w14:paraId="5012131D" w14:textId="77777777" w:rsidR="00A263AA" w:rsidRDefault="00A263AA" w:rsidP="00834900">
            <w:pPr>
              <w:jc w:val="center"/>
              <w:rPr>
                <w:sz w:val="20"/>
                <w:szCs w:val="20"/>
              </w:rPr>
            </w:pPr>
          </w:p>
        </w:tc>
      </w:tr>
      <w:tr w:rsidR="00A263AA" w:rsidRPr="00BA486C" w14:paraId="6A71882D" w14:textId="77777777" w:rsidTr="00834900">
        <w:trPr>
          <w:trHeight w:val="510"/>
        </w:trPr>
        <w:tc>
          <w:tcPr>
            <w:tcW w:w="517" w:type="dxa"/>
            <w:shd w:val="clear" w:color="auto" w:fill="CCFFFF"/>
          </w:tcPr>
          <w:p w14:paraId="63BBA9FD" w14:textId="77777777" w:rsidR="00A263AA" w:rsidRDefault="00A263AA" w:rsidP="00834900">
            <w:pPr>
              <w:jc w:val="center"/>
              <w:rPr>
                <w:rFonts w:ascii="Arial CYR" w:hAnsi="Arial CYR" w:cs="Arial CYR"/>
                <w:i/>
                <w:sz w:val="18"/>
                <w:szCs w:val="18"/>
              </w:rPr>
            </w:pPr>
            <w:r>
              <w:rPr>
                <w:rFonts w:ascii="Arial CYR" w:hAnsi="Arial CYR" w:cs="Arial CYR"/>
                <w:i/>
                <w:sz w:val="18"/>
                <w:szCs w:val="18"/>
              </w:rPr>
              <w:lastRenderedPageBreak/>
              <w:t>т</w:t>
            </w:r>
          </w:p>
        </w:tc>
        <w:tc>
          <w:tcPr>
            <w:tcW w:w="4091" w:type="dxa"/>
            <w:gridSpan w:val="2"/>
            <w:shd w:val="clear" w:color="auto" w:fill="CCFFFF"/>
          </w:tcPr>
          <w:p w14:paraId="31754692" w14:textId="77777777" w:rsidR="00A263AA" w:rsidRDefault="00A263AA" w:rsidP="00834900">
            <w:pPr>
              <w:rPr>
                <w:sz w:val="20"/>
                <w:szCs w:val="20"/>
              </w:rPr>
            </w:pPr>
            <w:r w:rsidRPr="00BA486C">
              <w:rPr>
                <w:sz w:val="20"/>
                <w:szCs w:val="20"/>
              </w:rPr>
              <w:t xml:space="preserve">Доля проверок, по итогам которых по фактам выявленных нарушений </w:t>
            </w:r>
            <w:r w:rsidRPr="000601EE">
              <w:rPr>
                <w:b/>
                <w:sz w:val="20"/>
                <w:szCs w:val="20"/>
              </w:rPr>
              <w:t xml:space="preserve">наложены </w:t>
            </w:r>
            <w:r w:rsidRPr="00BA486C">
              <w:rPr>
                <w:sz w:val="20"/>
                <w:szCs w:val="20"/>
              </w:rPr>
              <w:t xml:space="preserve">административные наказания (в процентах от общего числа проверок, по итогам которых выявлены правонарушения) </w:t>
            </w:r>
          </w:p>
        </w:tc>
        <w:tc>
          <w:tcPr>
            <w:tcW w:w="1188" w:type="dxa"/>
            <w:shd w:val="clear" w:color="auto" w:fill="auto"/>
          </w:tcPr>
          <w:p w14:paraId="7B212BF2" w14:textId="77777777" w:rsidR="00A263AA" w:rsidRPr="00BB7BC4" w:rsidRDefault="00A263AA" w:rsidP="00834900">
            <w:pPr>
              <w:jc w:val="center"/>
              <w:rPr>
                <w:sz w:val="20"/>
                <w:szCs w:val="20"/>
              </w:rPr>
            </w:pPr>
            <w:r>
              <w:rPr>
                <w:sz w:val="20"/>
                <w:szCs w:val="20"/>
              </w:rPr>
              <w:t>-</w:t>
            </w:r>
          </w:p>
        </w:tc>
        <w:tc>
          <w:tcPr>
            <w:tcW w:w="1260" w:type="dxa"/>
            <w:shd w:val="clear" w:color="auto" w:fill="auto"/>
          </w:tcPr>
          <w:p w14:paraId="429FEC1C" w14:textId="77777777" w:rsidR="00A263AA" w:rsidRPr="00BB7BC4" w:rsidRDefault="00A263AA" w:rsidP="00834900">
            <w:pPr>
              <w:jc w:val="center"/>
              <w:rPr>
                <w:sz w:val="20"/>
                <w:szCs w:val="20"/>
              </w:rPr>
            </w:pPr>
            <w:r>
              <w:rPr>
                <w:sz w:val="20"/>
                <w:szCs w:val="20"/>
              </w:rPr>
              <w:t>-</w:t>
            </w:r>
          </w:p>
        </w:tc>
        <w:tc>
          <w:tcPr>
            <w:tcW w:w="3312" w:type="dxa"/>
            <w:shd w:val="clear" w:color="auto" w:fill="auto"/>
          </w:tcPr>
          <w:p w14:paraId="0C31B821" w14:textId="77777777" w:rsidR="00A263AA" w:rsidRPr="00832246" w:rsidRDefault="00A263AA" w:rsidP="00834900">
            <w:pPr>
              <w:autoSpaceDE w:val="0"/>
              <w:autoSpaceDN w:val="0"/>
              <w:adjustRightInd w:val="0"/>
              <w:ind w:firstLine="540"/>
              <w:jc w:val="center"/>
              <w:rPr>
                <w:sz w:val="18"/>
                <w:szCs w:val="18"/>
              </w:rPr>
            </w:pPr>
          </w:p>
        </w:tc>
      </w:tr>
      <w:tr w:rsidR="00A263AA" w14:paraId="0A434F08" w14:textId="77777777" w:rsidTr="00834900">
        <w:trPr>
          <w:trHeight w:val="510"/>
        </w:trPr>
        <w:tc>
          <w:tcPr>
            <w:tcW w:w="517" w:type="dxa"/>
            <w:shd w:val="clear" w:color="auto" w:fill="CCFFFF"/>
          </w:tcPr>
          <w:p w14:paraId="20821D69" w14:textId="77777777" w:rsidR="00A263AA" w:rsidRDefault="00A263AA" w:rsidP="00834900">
            <w:pPr>
              <w:jc w:val="center"/>
              <w:rPr>
                <w:rFonts w:ascii="Arial CYR" w:hAnsi="Arial CYR" w:cs="Arial CYR"/>
                <w:i/>
                <w:sz w:val="18"/>
                <w:szCs w:val="18"/>
              </w:rPr>
            </w:pPr>
            <w:r>
              <w:rPr>
                <w:rFonts w:ascii="Arial CYR" w:hAnsi="Arial CYR" w:cs="Arial CYR"/>
                <w:i/>
                <w:sz w:val="18"/>
                <w:szCs w:val="18"/>
              </w:rPr>
              <w:t>у</w:t>
            </w:r>
          </w:p>
        </w:tc>
        <w:tc>
          <w:tcPr>
            <w:tcW w:w="4091" w:type="dxa"/>
            <w:gridSpan w:val="2"/>
            <w:shd w:val="clear" w:color="auto" w:fill="CCFFFF"/>
          </w:tcPr>
          <w:p w14:paraId="3AAF10AC" w14:textId="77777777" w:rsidR="00A263AA" w:rsidRDefault="00A263AA" w:rsidP="00834900">
            <w:pPr>
              <w:rPr>
                <w:sz w:val="20"/>
                <w:szCs w:val="20"/>
              </w:rPr>
            </w:pPr>
            <w:r w:rsidRPr="00BA486C">
              <w:rPr>
                <w:sz w:val="20"/>
                <w:szCs w:val="20"/>
              </w:rPr>
              <w:t xml:space="preserve">Доля предписаний, выданных в рамках лицензионного контроля, </w:t>
            </w:r>
            <w:r w:rsidRPr="00C06543">
              <w:rPr>
                <w:b/>
                <w:sz w:val="20"/>
                <w:szCs w:val="20"/>
              </w:rPr>
              <w:t>не исполненных</w:t>
            </w:r>
            <w:r w:rsidRPr="00BA486C">
              <w:rPr>
                <w:sz w:val="20"/>
                <w:szCs w:val="20"/>
              </w:rPr>
              <w:t xml:space="preserve"> после истечения срока, установленного в предписаниях (в процентах от общего числа проверок, по результатам которых выявлены нарушения</w:t>
            </w:r>
            <w:r w:rsidRPr="007414EB">
              <w:rPr>
                <w:sz w:val="20"/>
                <w:szCs w:val="20"/>
              </w:rPr>
              <w:t xml:space="preserve"> лицензионных требований</w:t>
            </w:r>
            <w:r>
              <w:rPr>
                <w:sz w:val="22"/>
                <w:szCs w:val="22"/>
              </w:rPr>
              <w:t>)</w:t>
            </w:r>
          </w:p>
        </w:tc>
        <w:tc>
          <w:tcPr>
            <w:tcW w:w="1188" w:type="dxa"/>
            <w:shd w:val="clear" w:color="auto" w:fill="auto"/>
          </w:tcPr>
          <w:p w14:paraId="691F73EB" w14:textId="77777777" w:rsidR="00A263AA" w:rsidRDefault="00A263AA" w:rsidP="00834900">
            <w:pPr>
              <w:jc w:val="center"/>
              <w:rPr>
                <w:sz w:val="20"/>
                <w:szCs w:val="20"/>
              </w:rPr>
            </w:pPr>
            <w:r>
              <w:rPr>
                <w:sz w:val="20"/>
                <w:szCs w:val="20"/>
              </w:rPr>
              <w:t>-</w:t>
            </w:r>
          </w:p>
        </w:tc>
        <w:tc>
          <w:tcPr>
            <w:tcW w:w="1260" w:type="dxa"/>
            <w:shd w:val="clear" w:color="auto" w:fill="auto"/>
          </w:tcPr>
          <w:p w14:paraId="76AEEB9D" w14:textId="77777777" w:rsidR="00A263AA" w:rsidRDefault="00A263AA" w:rsidP="00834900">
            <w:pPr>
              <w:jc w:val="center"/>
              <w:rPr>
                <w:sz w:val="20"/>
                <w:szCs w:val="20"/>
              </w:rPr>
            </w:pPr>
            <w:r>
              <w:rPr>
                <w:sz w:val="20"/>
                <w:szCs w:val="20"/>
              </w:rPr>
              <w:t>-</w:t>
            </w:r>
          </w:p>
        </w:tc>
        <w:tc>
          <w:tcPr>
            <w:tcW w:w="3312" w:type="dxa"/>
            <w:shd w:val="clear" w:color="auto" w:fill="auto"/>
          </w:tcPr>
          <w:p w14:paraId="2F91DFCC" w14:textId="77777777" w:rsidR="00A263AA" w:rsidRDefault="00A263AA" w:rsidP="00834900">
            <w:pPr>
              <w:jc w:val="center"/>
              <w:rPr>
                <w:sz w:val="20"/>
                <w:szCs w:val="20"/>
              </w:rPr>
            </w:pPr>
          </w:p>
        </w:tc>
      </w:tr>
      <w:tr w:rsidR="00A263AA" w14:paraId="6E458C2D" w14:textId="77777777" w:rsidTr="00834900">
        <w:trPr>
          <w:trHeight w:val="510"/>
        </w:trPr>
        <w:tc>
          <w:tcPr>
            <w:tcW w:w="517" w:type="dxa"/>
            <w:shd w:val="clear" w:color="auto" w:fill="CCFFFF"/>
          </w:tcPr>
          <w:p w14:paraId="533BA90B" w14:textId="77777777" w:rsidR="00A263AA" w:rsidRDefault="00A263AA" w:rsidP="00834900">
            <w:pPr>
              <w:jc w:val="center"/>
              <w:rPr>
                <w:rFonts w:ascii="Arial CYR" w:hAnsi="Arial CYR" w:cs="Arial CYR"/>
                <w:i/>
                <w:sz w:val="18"/>
                <w:szCs w:val="18"/>
              </w:rPr>
            </w:pPr>
            <w:r>
              <w:rPr>
                <w:rFonts w:ascii="Arial CYR" w:hAnsi="Arial CYR" w:cs="Arial CYR"/>
                <w:i/>
                <w:sz w:val="18"/>
                <w:szCs w:val="18"/>
              </w:rPr>
              <w:t>ф</w:t>
            </w:r>
          </w:p>
        </w:tc>
        <w:tc>
          <w:tcPr>
            <w:tcW w:w="4091" w:type="dxa"/>
            <w:gridSpan w:val="2"/>
            <w:shd w:val="clear" w:color="auto" w:fill="CCFFFF"/>
          </w:tcPr>
          <w:p w14:paraId="32D0DB3F" w14:textId="77777777" w:rsidR="00A263AA" w:rsidRPr="00067E0F" w:rsidRDefault="00A263AA" w:rsidP="00834900">
            <w:pPr>
              <w:rPr>
                <w:sz w:val="20"/>
                <w:szCs w:val="20"/>
              </w:rPr>
            </w:pPr>
            <w:r w:rsidRPr="00067E0F">
              <w:rPr>
                <w:sz w:val="20"/>
                <w:szCs w:val="20"/>
              </w:rPr>
              <w:t>отношение суммы</w:t>
            </w:r>
            <w:r w:rsidRPr="00067E0F">
              <w:rPr>
                <w:b/>
                <w:sz w:val="20"/>
                <w:szCs w:val="20"/>
              </w:rPr>
              <w:t xml:space="preserve"> </w:t>
            </w:r>
            <w:r w:rsidRPr="00067E0F">
              <w:rPr>
                <w:sz w:val="20"/>
                <w:szCs w:val="20"/>
              </w:rPr>
              <w:t>взысканных (уплаченных</w:t>
            </w:r>
            <w:r w:rsidRPr="00067E0F">
              <w:rPr>
                <w:b/>
                <w:sz w:val="20"/>
                <w:szCs w:val="20"/>
              </w:rPr>
              <w:t>)</w:t>
            </w:r>
            <w:r w:rsidRPr="00067E0F">
              <w:rPr>
                <w:sz w:val="20"/>
                <w:szCs w:val="20"/>
              </w:rPr>
              <w:t xml:space="preserve"> административных штрафов к общей сумме наложенных</w:t>
            </w:r>
            <w:r w:rsidRPr="00067E0F">
              <w:rPr>
                <w:b/>
                <w:sz w:val="20"/>
                <w:szCs w:val="20"/>
              </w:rPr>
              <w:t xml:space="preserve"> </w:t>
            </w:r>
            <w:r w:rsidRPr="00067E0F">
              <w:rPr>
                <w:sz w:val="20"/>
                <w:szCs w:val="20"/>
              </w:rPr>
              <w:t>административных штрафов (в процентах</w:t>
            </w:r>
            <w:r>
              <w:rPr>
                <w:sz w:val="20"/>
                <w:szCs w:val="20"/>
              </w:rPr>
              <w:t>)</w:t>
            </w:r>
          </w:p>
        </w:tc>
        <w:tc>
          <w:tcPr>
            <w:tcW w:w="1188" w:type="dxa"/>
            <w:shd w:val="clear" w:color="auto" w:fill="auto"/>
          </w:tcPr>
          <w:p w14:paraId="1177C7F9" w14:textId="77777777" w:rsidR="00A263AA" w:rsidRDefault="00A263AA" w:rsidP="00834900">
            <w:pPr>
              <w:jc w:val="center"/>
              <w:rPr>
                <w:sz w:val="20"/>
                <w:szCs w:val="20"/>
              </w:rPr>
            </w:pPr>
            <w:r>
              <w:rPr>
                <w:sz w:val="20"/>
                <w:szCs w:val="20"/>
              </w:rPr>
              <w:t>-</w:t>
            </w:r>
          </w:p>
        </w:tc>
        <w:tc>
          <w:tcPr>
            <w:tcW w:w="1260" w:type="dxa"/>
            <w:shd w:val="clear" w:color="auto" w:fill="auto"/>
          </w:tcPr>
          <w:p w14:paraId="3B3F44E5" w14:textId="77777777" w:rsidR="00A263AA" w:rsidRDefault="00A263AA" w:rsidP="00834900">
            <w:pPr>
              <w:jc w:val="center"/>
              <w:rPr>
                <w:sz w:val="20"/>
                <w:szCs w:val="20"/>
              </w:rPr>
            </w:pPr>
            <w:r>
              <w:rPr>
                <w:sz w:val="20"/>
                <w:szCs w:val="20"/>
              </w:rPr>
              <w:t>-</w:t>
            </w:r>
          </w:p>
        </w:tc>
        <w:tc>
          <w:tcPr>
            <w:tcW w:w="3312" w:type="dxa"/>
            <w:shd w:val="clear" w:color="auto" w:fill="auto"/>
          </w:tcPr>
          <w:p w14:paraId="0542C9D4" w14:textId="77777777" w:rsidR="00A263AA" w:rsidRDefault="00A263AA" w:rsidP="00834900">
            <w:pPr>
              <w:jc w:val="center"/>
              <w:rPr>
                <w:sz w:val="20"/>
                <w:szCs w:val="20"/>
              </w:rPr>
            </w:pPr>
          </w:p>
        </w:tc>
      </w:tr>
      <w:tr w:rsidR="00A263AA" w14:paraId="4D79C6C4" w14:textId="77777777" w:rsidTr="00834900">
        <w:trPr>
          <w:trHeight w:val="510"/>
        </w:trPr>
        <w:tc>
          <w:tcPr>
            <w:tcW w:w="517" w:type="dxa"/>
            <w:shd w:val="clear" w:color="auto" w:fill="CCFFFF"/>
          </w:tcPr>
          <w:p w14:paraId="7D1F8318" w14:textId="77777777" w:rsidR="00A263AA" w:rsidRPr="00705F56" w:rsidRDefault="00A263AA" w:rsidP="00834900">
            <w:pPr>
              <w:jc w:val="center"/>
              <w:rPr>
                <w:rFonts w:ascii="Arial CYR" w:hAnsi="Arial CYR" w:cs="Arial CYR"/>
                <w:i/>
                <w:sz w:val="18"/>
                <w:szCs w:val="18"/>
              </w:rPr>
            </w:pPr>
            <w:r w:rsidRPr="00705F56">
              <w:rPr>
                <w:rFonts w:ascii="Arial" w:hAnsi="Arial" w:cs="Arial"/>
                <w:i/>
                <w:sz w:val="20"/>
                <w:szCs w:val="20"/>
              </w:rPr>
              <w:t>х</w:t>
            </w:r>
          </w:p>
        </w:tc>
        <w:tc>
          <w:tcPr>
            <w:tcW w:w="4091" w:type="dxa"/>
            <w:gridSpan w:val="2"/>
            <w:shd w:val="clear" w:color="auto" w:fill="CCFFFF"/>
          </w:tcPr>
          <w:p w14:paraId="3CF52D86" w14:textId="77777777" w:rsidR="00A263AA" w:rsidRPr="00067E0F" w:rsidRDefault="00A263AA" w:rsidP="00834900">
            <w:pPr>
              <w:rPr>
                <w:sz w:val="20"/>
                <w:szCs w:val="20"/>
              </w:rPr>
            </w:pPr>
            <w:r w:rsidRPr="00D728FB">
              <w:rPr>
                <w:sz w:val="20"/>
                <w:szCs w:val="20"/>
              </w:rPr>
              <w:t>средний размер наложенного административного штрафа в том числе на должностных лиц и юридиче</w:t>
            </w:r>
            <w:r>
              <w:rPr>
                <w:sz w:val="20"/>
                <w:szCs w:val="20"/>
              </w:rPr>
              <w:t>ских лиц (в тыс. рублей)</w:t>
            </w:r>
          </w:p>
        </w:tc>
        <w:tc>
          <w:tcPr>
            <w:tcW w:w="1188" w:type="dxa"/>
            <w:shd w:val="clear" w:color="auto" w:fill="auto"/>
          </w:tcPr>
          <w:p w14:paraId="24E0469F" w14:textId="77777777" w:rsidR="00A263AA" w:rsidRPr="000A4CBC" w:rsidRDefault="00A263AA" w:rsidP="00834900">
            <w:pPr>
              <w:jc w:val="center"/>
              <w:rPr>
                <w:sz w:val="20"/>
                <w:szCs w:val="20"/>
              </w:rPr>
            </w:pPr>
            <w:r>
              <w:rPr>
                <w:sz w:val="20"/>
                <w:szCs w:val="20"/>
              </w:rPr>
              <w:t>-</w:t>
            </w:r>
          </w:p>
        </w:tc>
        <w:tc>
          <w:tcPr>
            <w:tcW w:w="1260" w:type="dxa"/>
            <w:shd w:val="clear" w:color="auto" w:fill="auto"/>
          </w:tcPr>
          <w:p w14:paraId="4B020C8A" w14:textId="77777777" w:rsidR="00A263AA" w:rsidRDefault="00A263AA" w:rsidP="00834900">
            <w:pPr>
              <w:jc w:val="center"/>
              <w:rPr>
                <w:sz w:val="20"/>
                <w:szCs w:val="20"/>
              </w:rPr>
            </w:pPr>
            <w:r>
              <w:rPr>
                <w:sz w:val="20"/>
                <w:szCs w:val="20"/>
              </w:rPr>
              <w:t>-</w:t>
            </w:r>
          </w:p>
        </w:tc>
        <w:tc>
          <w:tcPr>
            <w:tcW w:w="3312" w:type="dxa"/>
            <w:shd w:val="clear" w:color="auto" w:fill="auto"/>
          </w:tcPr>
          <w:p w14:paraId="28A7EE9D" w14:textId="77777777" w:rsidR="00A263AA" w:rsidRPr="000A4CBC" w:rsidRDefault="00A263AA" w:rsidP="00834900">
            <w:pPr>
              <w:jc w:val="center"/>
              <w:rPr>
                <w:sz w:val="20"/>
                <w:szCs w:val="20"/>
              </w:rPr>
            </w:pPr>
          </w:p>
        </w:tc>
      </w:tr>
      <w:tr w:rsidR="00A263AA" w:rsidRPr="00CD6CAE" w14:paraId="1413B351" w14:textId="77777777" w:rsidTr="00834900">
        <w:trPr>
          <w:trHeight w:val="510"/>
        </w:trPr>
        <w:tc>
          <w:tcPr>
            <w:tcW w:w="517" w:type="dxa"/>
            <w:shd w:val="clear" w:color="auto" w:fill="CCFFFF"/>
          </w:tcPr>
          <w:p w14:paraId="53CB1CDA" w14:textId="77777777" w:rsidR="00A263AA" w:rsidRDefault="00A263AA" w:rsidP="00834900">
            <w:pPr>
              <w:jc w:val="center"/>
              <w:rPr>
                <w:rFonts w:ascii="Arial CYR" w:hAnsi="Arial CYR" w:cs="Arial CYR"/>
                <w:i/>
                <w:sz w:val="18"/>
                <w:szCs w:val="18"/>
              </w:rPr>
            </w:pPr>
            <w:r>
              <w:rPr>
                <w:rFonts w:ascii="Arial CYR" w:hAnsi="Arial CYR" w:cs="Arial CYR"/>
                <w:i/>
                <w:sz w:val="18"/>
                <w:szCs w:val="18"/>
              </w:rPr>
              <w:t>ц</w:t>
            </w:r>
          </w:p>
        </w:tc>
        <w:tc>
          <w:tcPr>
            <w:tcW w:w="4091" w:type="dxa"/>
            <w:gridSpan w:val="2"/>
            <w:shd w:val="clear" w:color="auto" w:fill="CCFFFF"/>
          </w:tcPr>
          <w:p w14:paraId="321EB442" w14:textId="77777777" w:rsidR="00A263AA" w:rsidRPr="00705F56" w:rsidRDefault="00A263AA" w:rsidP="00834900">
            <w:pPr>
              <w:autoSpaceDE w:val="0"/>
              <w:autoSpaceDN w:val="0"/>
              <w:adjustRightInd w:val="0"/>
              <w:jc w:val="both"/>
              <w:rPr>
                <w:sz w:val="20"/>
                <w:szCs w:val="20"/>
              </w:rPr>
            </w:pPr>
            <w:r w:rsidRPr="00705F56">
              <w:rPr>
                <w:sz w:val="20"/>
                <w:szCs w:val="20"/>
              </w:rPr>
              <w:t>доля проведенных внеплановых проверок (в процентах от общего количества проведенных проверок)</w:t>
            </w:r>
          </w:p>
          <w:p w14:paraId="5EF61261" w14:textId="77777777" w:rsidR="00A263AA" w:rsidRPr="00067E0F" w:rsidRDefault="00A263AA" w:rsidP="00834900">
            <w:pPr>
              <w:rPr>
                <w:sz w:val="20"/>
                <w:szCs w:val="20"/>
              </w:rPr>
            </w:pPr>
          </w:p>
        </w:tc>
        <w:tc>
          <w:tcPr>
            <w:tcW w:w="1188" w:type="dxa"/>
            <w:shd w:val="clear" w:color="auto" w:fill="auto"/>
          </w:tcPr>
          <w:p w14:paraId="212BFB3E" w14:textId="77777777" w:rsidR="00A263AA" w:rsidRPr="00221C26" w:rsidRDefault="00A263AA" w:rsidP="00834900">
            <w:pPr>
              <w:jc w:val="center"/>
              <w:rPr>
                <w:sz w:val="20"/>
                <w:szCs w:val="20"/>
              </w:rPr>
            </w:pPr>
            <w:r>
              <w:rPr>
                <w:sz w:val="20"/>
                <w:szCs w:val="20"/>
              </w:rPr>
              <w:t>-</w:t>
            </w:r>
          </w:p>
        </w:tc>
        <w:tc>
          <w:tcPr>
            <w:tcW w:w="1260" w:type="dxa"/>
            <w:shd w:val="clear" w:color="auto" w:fill="auto"/>
          </w:tcPr>
          <w:p w14:paraId="2F52317F" w14:textId="77777777" w:rsidR="00A263AA" w:rsidRPr="00221C26" w:rsidRDefault="00A263AA" w:rsidP="00834900">
            <w:pPr>
              <w:jc w:val="center"/>
              <w:rPr>
                <w:sz w:val="20"/>
                <w:szCs w:val="20"/>
              </w:rPr>
            </w:pPr>
            <w:r>
              <w:rPr>
                <w:sz w:val="20"/>
                <w:szCs w:val="20"/>
              </w:rPr>
              <w:t>-</w:t>
            </w:r>
          </w:p>
        </w:tc>
        <w:tc>
          <w:tcPr>
            <w:tcW w:w="3312" w:type="dxa"/>
            <w:shd w:val="clear" w:color="auto" w:fill="auto"/>
          </w:tcPr>
          <w:p w14:paraId="7F41A2E9" w14:textId="77777777" w:rsidR="00A263AA" w:rsidRPr="009C316C" w:rsidRDefault="00A263AA" w:rsidP="00834900">
            <w:pPr>
              <w:jc w:val="center"/>
              <w:rPr>
                <w:sz w:val="20"/>
                <w:szCs w:val="20"/>
              </w:rPr>
            </w:pPr>
          </w:p>
        </w:tc>
      </w:tr>
      <w:tr w:rsidR="00A263AA" w14:paraId="49220BE1" w14:textId="77777777" w:rsidTr="00834900">
        <w:trPr>
          <w:trHeight w:val="510"/>
        </w:trPr>
        <w:tc>
          <w:tcPr>
            <w:tcW w:w="517" w:type="dxa"/>
            <w:shd w:val="clear" w:color="auto" w:fill="CCFFFF"/>
          </w:tcPr>
          <w:p w14:paraId="52D2E8D7" w14:textId="77777777" w:rsidR="00A263AA" w:rsidRDefault="00A263AA" w:rsidP="00834900">
            <w:pPr>
              <w:jc w:val="center"/>
              <w:rPr>
                <w:rFonts w:ascii="Arial CYR" w:hAnsi="Arial CYR" w:cs="Arial CYR"/>
                <w:i/>
                <w:sz w:val="18"/>
                <w:szCs w:val="18"/>
              </w:rPr>
            </w:pPr>
            <w:r>
              <w:rPr>
                <w:rFonts w:ascii="Arial CYR" w:hAnsi="Arial CYR" w:cs="Arial CYR"/>
                <w:i/>
                <w:sz w:val="18"/>
                <w:szCs w:val="18"/>
              </w:rPr>
              <w:t>ч</w:t>
            </w:r>
          </w:p>
        </w:tc>
        <w:tc>
          <w:tcPr>
            <w:tcW w:w="4091" w:type="dxa"/>
            <w:gridSpan w:val="2"/>
            <w:shd w:val="clear" w:color="auto" w:fill="CCFFFF"/>
          </w:tcPr>
          <w:p w14:paraId="003B65B6" w14:textId="77777777" w:rsidR="00A263AA" w:rsidRPr="001C2C8D" w:rsidRDefault="00A263AA" w:rsidP="00834900">
            <w:pPr>
              <w:autoSpaceDE w:val="0"/>
              <w:autoSpaceDN w:val="0"/>
              <w:adjustRightInd w:val="0"/>
              <w:jc w:val="both"/>
              <w:rPr>
                <w:sz w:val="20"/>
                <w:szCs w:val="20"/>
              </w:rPr>
            </w:pPr>
            <w:r w:rsidRPr="001C2C8D">
              <w:rPr>
                <w:sz w:val="20"/>
                <w:szCs w:val="20"/>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p w14:paraId="01B9B649" w14:textId="77777777" w:rsidR="00A263AA" w:rsidRPr="00705F56" w:rsidRDefault="00A263AA" w:rsidP="00834900">
            <w:pPr>
              <w:autoSpaceDE w:val="0"/>
              <w:autoSpaceDN w:val="0"/>
              <w:adjustRightInd w:val="0"/>
              <w:jc w:val="both"/>
              <w:rPr>
                <w:sz w:val="20"/>
                <w:szCs w:val="20"/>
              </w:rPr>
            </w:pPr>
          </w:p>
        </w:tc>
        <w:tc>
          <w:tcPr>
            <w:tcW w:w="1188" w:type="dxa"/>
            <w:shd w:val="clear" w:color="auto" w:fill="auto"/>
          </w:tcPr>
          <w:p w14:paraId="4C92C6B7" w14:textId="77777777" w:rsidR="00A263AA" w:rsidRDefault="00A263AA" w:rsidP="00834900">
            <w:pPr>
              <w:jc w:val="center"/>
              <w:rPr>
                <w:sz w:val="20"/>
                <w:szCs w:val="20"/>
              </w:rPr>
            </w:pPr>
            <w:r>
              <w:rPr>
                <w:sz w:val="20"/>
                <w:szCs w:val="20"/>
              </w:rPr>
              <w:t>-</w:t>
            </w:r>
          </w:p>
        </w:tc>
        <w:tc>
          <w:tcPr>
            <w:tcW w:w="1260" w:type="dxa"/>
            <w:shd w:val="clear" w:color="auto" w:fill="auto"/>
          </w:tcPr>
          <w:p w14:paraId="35DE4B89" w14:textId="77777777" w:rsidR="00A263AA" w:rsidRDefault="00A263AA" w:rsidP="00834900">
            <w:pPr>
              <w:jc w:val="center"/>
              <w:rPr>
                <w:sz w:val="20"/>
                <w:szCs w:val="20"/>
              </w:rPr>
            </w:pPr>
            <w:r>
              <w:rPr>
                <w:sz w:val="20"/>
                <w:szCs w:val="20"/>
              </w:rPr>
              <w:t>-</w:t>
            </w:r>
          </w:p>
        </w:tc>
        <w:tc>
          <w:tcPr>
            <w:tcW w:w="3312" w:type="dxa"/>
            <w:shd w:val="clear" w:color="auto" w:fill="auto"/>
          </w:tcPr>
          <w:p w14:paraId="2C04A45B" w14:textId="77777777" w:rsidR="00A263AA" w:rsidRDefault="00A263AA" w:rsidP="00834900">
            <w:pPr>
              <w:jc w:val="center"/>
              <w:rPr>
                <w:sz w:val="20"/>
                <w:szCs w:val="20"/>
              </w:rPr>
            </w:pPr>
          </w:p>
        </w:tc>
      </w:tr>
      <w:tr w:rsidR="00A263AA" w14:paraId="00DB284D" w14:textId="77777777" w:rsidTr="00834900">
        <w:trPr>
          <w:trHeight w:val="510"/>
        </w:trPr>
        <w:tc>
          <w:tcPr>
            <w:tcW w:w="517" w:type="dxa"/>
            <w:shd w:val="clear" w:color="auto" w:fill="CCFFFF"/>
          </w:tcPr>
          <w:p w14:paraId="3A2E81E4" w14:textId="77777777" w:rsidR="00A263AA" w:rsidRDefault="00A263AA" w:rsidP="00834900">
            <w:pPr>
              <w:jc w:val="center"/>
              <w:rPr>
                <w:rFonts w:ascii="Arial CYR" w:hAnsi="Arial CYR" w:cs="Arial CYR"/>
                <w:i/>
                <w:sz w:val="18"/>
                <w:szCs w:val="18"/>
              </w:rPr>
            </w:pPr>
            <w:r>
              <w:rPr>
                <w:rFonts w:ascii="Arial CYR" w:hAnsi="Arial CYR" w:cs="Arial CYR"/>
                <w:i/>
                <w:sz w:val="18"/>
                <w:szCs w:val="18"/>
              </w:rPr>
              <w:t>ш</w:t>
            </w:r>
          </w:p>
        </w:tc>
        <w:tc>
          <w:tcPr>
            <w:tcW w:w="4091" w:type="dxa"/>
            <w:gridSpan w:val="2"/>
            <w:shd w:val="clear" w:color="auto" w:fill="CCFFFF"/>
          </w:tcPr>
          <w:p w14:paraId="2539E8CA" w14:textId="77777777" w:rsidR="00A263AA" w:rsidRPr="00804226" w:rsidRDefault="00A263AA" w:rsidP="00834900">
            <w:pPr>
              <w:autoSpaceDE w:val="0"/>
              <w:autoSpaceDN w:val="0"/>
              <w:adjustRightInd w:val="0"/>
              <w:jc w:val="both"/>
              <w:rPr>
                <w:sz w:val="20"/>
                <w:szCs w:val="20"/>
              </w:rPr>
            </w:pPr>
            <w:r w:rsidRPr="00804226">
              <w:rPr>
                <w:sz w:val="20"/>
                <w:szCs w:val="20"/>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p w14:paraId="39A44282" w14:textId="77777777" w:rsidR="00A263AA" w:rsidRPr="001C2C8D" w:rsidRDefault="00A263AA" w:rsidP="00834900">
            <w:pPr>
              <w:autoSpaceDE w:val="0"/>
              <w:autoSpaceDN w:val="0"/>
              <w:adjustRightInd w:val="0"/>
              <w:jc w:val="both"/>
              <w:rPr>
                <w:sz w:val="20"/>
                <w:szCs w:val="20"/>
              </w:rPr>
            </w:pPr>
          </w:p>
        </w:tc>
        <w:tc>
          <w:tcPr>
            <w:tcW w:w="1188" w:type="dxa"/>
            <w:shd w:val="clear" w:color="auto" w:fill="auto"/>
          </w:tcPr>
          <w:p w14:paraId="6D9846BF" w14:textId="77777777" w:rsidR="00A263AA" w:rsidRDefault="00A263AA" w:rsidP="00834900">
            <w:pPr>
              <w:jc w:val="center"/>
              <w:rPr>
                <w:sz w:val="20"/>
                <w:szCs w:val="20"/>
              </w:rPr>
            </w:pPr>
            <w:r>
              <w:rPr>
                <w:sz w:val="20"/>
                <w:szCs w:val="20"/>
              </w:rPr>
              <w:t>-</w:t>
            </w:r>
          </w:p>
        </w:tc>
        <w:tc>
          <w:tcPr>
            <w:tcW w:w="1260" w:type="dxa"/>
            <w:shd w:val="clear" w:color="auto" w:fill="auto"/>
          </w:tcPr>
          <w:p w14:paraId="05DEFF35" w14:textId="77777777" w:rsidR="00A263AA" w:rsidRDefault="00A263AA" w:rsidP="00834900">
            <w:pPr>
              <w:jc w:val="center"/>
              <w:rPr>
                <w:sz w:val="20"/>
                <w:szCs w:val="20"/>
              </w:rPr>
            </w:pPr>
            <w:r>
              <w:rPr>
                <w:sz w:val="20"/>
                <w:szCs w:val="20"/>
              </w:rPr>
              <w:t>-</w:t>
            </w:r>
          </w:p>
        </w:tc>
        <w:tc>
          <w:tcPr>
            <w:tcW w:w="3312" w:type="dxa"/>
            <w:shd w:val="clear" w:color="auto" w:fill="auto"/>
          </w:tcPr>
          <w:p w14:paraId="56F1446F" w14:textId="77777777" w:rsidR="00A263AA" w:rsidRPr="006A6A65" w:rsidRDefault="00A263AA" w:rsidP="00834900">
            <w:pPr>
              <w:jc w:val="center"/>
              <w:rPr>
                <w:sz w:val="20"/>
                <w:szCs w:val="20"/>
              </w:rPr>
            </w:pPr>
          </w:p>
        </w:tc>
      </w:tr>
      <w:tr w:rsidR="00A263AA" w14:paraId="56944B5B" w14:textId="77777777" w:rsidTr="00834900">
        <w:trPr>
          <w:trHeight w:val="510"/>
        </w:trPr>
        <w:tc>
          <w:tcPr>
            <w:tcW w:w="517" w:type="dxa"/>
            <w:shd w:val="clear" w:color="auto" w:fill="CCFFFF"/>
          </w:tcPr>
          <w:p w14:paraId="72A5BA82" w14:textId="77777777" w:rsidR="00A263AA" w:rsidRDefault="00A263AA" w:rsidP="00834900">
            <w:pPr>
              <w:jc w:val="center"/>
              <w:rPr>
                <w:rFonts w:ascii="Arial CYR" w:hAnsi="Arial CYR" w:cs="Arial CYR"/>
                <w:i/>
                <w:sz w:val="18"/>
                <w:szCs w:val="18"/>
              </w:rPr>
            </w:pPr>
            <w:r>
              <w:rPr>
                <w:rFonts w:ascii="Arial CYR" w:hAnsi="Arial CYR" w:cs="Arial CYR"/>
                <w:i/>
                <w:sz w:val="18"/>
                <w:szCs w:val="18"/>
              </w:rPr>
              <w:t>щ</w:t>
            </w:r>
          </w:p>
        </w:tc>
        <w:tc>
          <w:tcPr>
            <w:tcW w:w="4091" w:type="dxa"/>
            <w:gridSpan w:val="2"/>
            <w:shd w:val="clear" w:color="auto" w:fill="CCFFFF"/>
          </w:tcPr>
          <w:p w14:paraId="5AF0F155" w14:textId="77777777" w:rsidR="00A263AA" w:rsidRPr="009B310C" w:rsidRDefault="00A263AA" w:rsidP="00834900">
            <w:pPr>
              <w:autoSpaceDE w:val="0"/>
              <w:autoSpaceDN w:val="0"/>
              <w:adjustRightInd w:val="0"/>
              <w:jc w:val="both"/>
              <w:rPr>
                <w:sz w:val="20"/>
                <w:szCs w:val="20"/>
              </w:rPr>
            </w:pPr>
            <w:r w:rsidRPr="009B310C">
              <w:rPr>
                <w:rFonts w:eastAsia="Calibri"/>
                <w:sz w:val="20"/>
                <w:szCs w:val="20"/>
              </w:rPr>
              <w:t>доля решений, принятых лицензирующим органом по результатам рассмотрения заявлений о представлении,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1188" w:type="dxa"/>
            <w:shd w:val="clear" w:color="auto" w:fill="auto"/>
          </w:tcPr>
          <w:p w14:paraId="686722AB" w14:textId="77777777" w:rsidR="00A263AA" w:rsidRDefault="00A263AA" w:rsidP="00834900">
            <w:pPr>
              <w:jc w:val="center"/>
              <w:rPr>
                <w:sz w:val="20"/>
                <w:szCs w:val="20"/>
              </w:rPr>
            </w:pPr>
            <w:r>
              <w:rPr>
                <w:sz w:val="20"/>
                <w:szCs w:val="20"/>
              </w:rPr>
              <w:t>0%</w:t>
            </w:r>
          </w:p>
        </w:tc>
        <w:tc>
          <w:tcPr>
            <w:tcW w:w="1260" w:type="dxa"/>
            <w:shd w:val="clear" w:color="auto" w:fill="auto"/>
          </w:tcPr>
          <w:p w14:paraId="57A9DD53" w14:textId="77777777" w:rsidR="00A263AA" w:rsidRDefault="00A263AA" w:rsidP="00834900">
            <w:pPr>
              <w:jc w:val="center"/>
              <w:rPr>
                <w:sz w:val="20"/>
                <w:szCs w:val="20"/>
              </w:rPr>
            </w:pPr>
            <w:r>
              <w:rPr>
                <w:sz w:val="20"/>
                <w:szCs w:val="20"/>
              </w:rPr>
              <w:t>0%</w:t>
            </w:r>
          </w:p>
        </w:tc>
        <w:tc>
          <w:tcPr>
            <w:tcW w:w="3312" w:type="dxa"/>
            <w:shd w:val="clear" w:color="auto" w:fill="auto"/>
          </w:tcPr>
          <w:p w14:paraId="2A9CA5E0" w14:textId="77777777" w:rsidR="00A263AA" w:rsidRDefault="00A263AA" w:rsidP="00834900">
            <w:pPr>
              <w:jc w:val="center"/>
              <w:rPr>
                <w:sz w:val="20"/>
                <w:szCs w:val="20"/>
              </w:rPr>
            </w:pPr>
            <w:r>
              <w:rPr>
                <w:sz w:val="20"/>
                <w:szCs w:val="20"/>
              </w:rPr>
              <w:t>0</w:t>
            </w:r>
          </w:p>
        </w:tc>
      </w:tr>
    </w:tbl>
    <w:p w14:paraId="121BB8C1" w14:textId="77777777" w:rsidR="00A263AA" w:rsidRDefault="00A263AA" w:rsidP="00A263AA">
      <w:pPr>
        <w:ind w:firstLine="709"/>
        <w:jc w:val="both"/>
        <w:rPr>
          <w:color w:val="000000"/>
        </w:rPr>
      </w:pPr>
    </w:p>
    <w:p w14:paraId="4C8B7DA8" w14:textId="77777777" w:rsidR="00A263AA" w:rsidRPr="003C135F" w:rsidRDefault="00A263AA" w:rsidP="00A263AA">
      <w:pPr>
        <w:ind w:firstLine="709"/>
        <w:jc w:val="both"/>
        <w:rPr>
          <w:color w:val="000000"/>
        </w:rPr>
      </w:pPr>
      <w:r w:rsidRPr="000B3276">
        <w:rPr>
          <w:color w:val="000000"/>
        </w:rPr>
        <w:t xml:space="preserve">Показатели </w:t>
      </w:r>
      <w:proofErr w:type="spellStart"/>
      <w:proofErr w:type="gramStart"/>
      <w:r w:rsidRPr="000B3276">
        <w:rPr>
          <w:color w:val="000000"/>
        </w:rPr>
        <w:t>з,н</w:t>
      </w:r>
      <w:proofErr w:type="gramEnd"/>
      <w:r w:rsidRPr="000B3276">
        <w:rPr>
          <w:color w:val="000000"/>
        </w:rPr>
        <w:t>,о,п,р,с,т,у,ф,ц,х,ч,ш</w:t>
      </w:r>
      <w:proofErr w:type="spellEnd"/>
      <w:r w:rsidRPr="000B3276">
        <w:rPr>
          <w:color w:val="000000"/>
        </w:rPr>
        <w:t xml:space="preserve"> не определя</w:t>
      </w:r>
      <w:r>
        <w:rPr>
          <w:color w:val="000000"/>
        </w:rPr>
        <w:t>ются</w:t>
      </w:r>
      <w:r w:rsidRPr="000B3276">
        <w:rPr>
          <w:color w:val="000000"/>
        </w:rPr>
        <w:t>, в связи с отсутствием полномочий по проведению лицензионного контроля за лицензиатами, осуществляющими фармацевтическую деятельность.</w:t>
      </w:r>
      <w:r w:rsidRPr="003C135F">
        <w:rPr>
          <w:color w:val="000000"/>
        </w:rPr>
        <w:t xml:space="preserve"> </w:t>
      </w:r>
    </w:p>
    <w:p w14:paraId="1E60830E" w14:textId="77777777" w:rsidR="00A263AA" w:rsidRPr="00783BF2" w:rsidRDefault="00A263AA" w:rsidP="00A263AA">
      <w:pPr>
        <w:autoSpaceDE w:val="0"/>
        <w:autoSpaceDN w:val="0"/>
        <w:adjustRightInd w:val="0"/>
        <w:ind w:firstLine="708"/>
        <w:jc w:val="both"/>
        <w:rPr>
          <w:rFonts w:eastAsia="Calibri"/>
          <w:color w:val="000000"/>
        </w:rPr>
      </w:pPr>
      <w:r w:rsidRPr="0051025E">
        <w:t xml:space="preserve">Лицензирование отдельных видов деятельности осуществляется в целях предотвращения ущерба правам, законным интересам, жизни или здоровью граждан, возможность нанесения которого связана с осуществлением юридическими лицами и индивидуальными предпринимателями отдельных видов деятельности. </w:t>
      </w:r>
    </w:p>
    <w:p w14:paraId="77906E93" w14:textId="77777777" w:rsidR="00A263AA" w:rsidRDefault="00A263AA" w:rsidP="00A263AA">
      <w:pPr>
        <w:autoSpaceDE w:val="0"/>
        <w:autoSpaceDN w:val="0"/>
        <w:adjustRightInd w:val="0"/>
        <w:ind w:firstLine="540"/>
        <w:jc w:val="both"/>
      </w:pPr>
      <w:r w:rsidRPr="00B644E5">
        <w:t>При опросах лицензиатов установлена их удовлетворенность объемом и качеством проводимой нами методической работы.</w:t>
      </w:r>
    </w:p>
    <w:p w14:paraId="1C0D29A8" w14:textId="77777777" w:rsidR="00227134" w:rsidRDefault="00227134">
      <w:pPr>
        <w:rPr>
          <w:sz w:val="32"/>
          <w:szCs w:val="32"/>
        </w:rPr>
      </w:pPr>
    </w:p>
    <w:p w14:paraId="4003D398"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14:paraId="6DD94595" w14:textId="77777777" w:rsidR="00227134" w:rsidRDefault="00227134">
      <w:pPr>
        <w:rPr>
          <w:sz w:val="32"/>
          <w:szCs w:val="32"/>
        </w:rPr>
      </w:pPr>
    </w:p>
    <w:p w14:paraId="4B9B2B00" w14:textId="77777777" w:rsidR="00A263AA" w:rsidRPr="00B644E5" w:rsidRDefault="00A263AA" w:rsidP="00A263AA">
      <w:pPr>
        <w:autoSpaceDE w:val="0"/>
        <w:autoSpaceDN w:val="0"/>
        <w:adjustRightInd w:val="0"/>
        <w:ind w:firstLine="540"/>
        <w:jc w:val="center"/>
        <w:rPr>
          <w:color w:val="008000"/>
          <w:sz w:val="20"/>
          <w:szCs w:val="20"/>
        </w:rPr>
      </w:pPr>
      <w:r w:rsidRPr="00B644E5">
        <w:rPr>
          <w:color w:val="008000"/>
          <w:sz w:val="20"/>
          <w:szCs w:val="20"/>
          <w:u w:val="single"/>
        </w:rPr>
        <w:t>(выводы и предложения по осуществлению</w:t>
      </w:r>
      <w:r w:rsidRPr="00B644E5">
        <w:rPr>
          <w:color w:val="008000"/>
          <w:sz w:val="20"/>
          <w:szCs w:val="20"/>
        </w:rPr>
        <w:t xml:space="preserve"> лицензирования конкретных видов деятельности, по совершенствованию нормативно-правового регулирования лицензирования конкретных видов деятельности, а также при необходимости </w:t>
      </w:r>
      <w:r w:rsidRPr="00B644E5">
        <w:rPr>
          <w:color w:val="008000"/>
          <w:sz w:val="20"/>
          <w:szCs w:val="20"/>
          <w:u w:val="single"/>
        </w:rPr>
        <w:t>иные предложения, связанные с осуществлением лицензирования</w:t>
      </w:r>
      <w:r w:rsidRPr="00B644E5">
        <w:rPr>
          <w:color w:val="008000"/>
          <w:sz w:val="20"/>
          <w:szCs w:val="20"/>
        </w:rPr>
        <w:t xml:space="preserve"> конкретных видов </w:t>
      </w:r>
      <w:r w:rsidRPr="00B644E5">
        <w:rPr>
          <w:color w:val="008000"/>
          <w:sz w:val="20"/>
          <w:szCs w:val="20"/>
        </w:rPr>
        <w:lastRenderedPageBreak/>
        <w:t xml:space="preserve">деятельности, </w:t>
      </w:r>
      <w:r w:rsidRPr="00B644E5">
        <w:rPr>
          <w:color w:val="008000"/>
          <w:sz w:val="20"/>
          <w:szCs w:val="20"/>
          <w:u w:val="single"/>
        </w:rPr>
        <w:t>направленные на повышение эффективности лицензирования</w:t>
      </w:r>
      <w:r w:rsidRPr="00B644E5">
        <w:rPr>
          <w:color w:val="008000"/>
          <w:sz w:val="20"/>
          <w:szCs w:val="20"/>
        </w:rPr>
        <w:t xml:space="preserve"> </w:t>
      </w:r>
      <w:r w:rsidRPr="00B644E5">
        <w:rPr>
          <w:color w:val="008000"/>
          <w:sz w:val="20"/>
          <w:szCs w:val="20"/>
          <w:u w:val="single"/>
        </w:rPr>
        <w:t xml:space="preserve">и сокращение административных ограничений в деятельности лицензиатов, включая оценку целесообразности сохранения режима лицензирования </w:t>
      </w:r>
      <w:r w:rsidRPr="00B644E5">
        <w:rPr>
          <w:color w:val="008000"/>
          <w:sz w:val="20"/>
          <w:szCs w:val="20"/>
        </w:rPr>
        <w:t>для регулирования конкретных видов деятельности).</w:t>
      </w:r>
    </w:p>
    <w:p w14:paraId="1ACD7971" w14:textId="77777777" w:rsidR="00A263AA" w:rsidRDefault="00A263AA" w:rsidP="00A263AA">
      <w:pPr>
        <w:autoSpaceDE w:val="0"/>
        <w:autoSpaceDN w:val="0"/>
        <w:adjustRightInd w:val="0"/>
        <w:spacing w:before="360" w:after="120" w:line="240" w:lineRule="exact"/>
        <w:ind w:firstLine="709"/>
        <w:jc w:val="both"/>
        <w:rPr>
          <w:b/>
        </w:rPr>
      </w:pPr>
      <w:r w:rsidRPr="007C1633">
        <w:rPr>
          <w:b/>
        </w:rPr>
        <w:t xml:space="preserve">«Выводы и предложения по осуществлению лицензирования конкретных видов деятельности» </w:t>
      </w:r>
    </w:p>
    <w:p w14:paraId="57B8A0BE" w14:textId="77777777" w:rsidR="00A263AA" w:rsidRPr="00EC5446" w:rsidRDefault="00A263AA" w:rsidP="00A263AA">
      <w:pPr>
        <w:autoSpaceDE w:val="0"/>
        <w:autoSpaceDN w:val="0"/>
        <w:adjustRightInd w:val="0"/>
        <w:ind w:firstLine="709"/>
        <w:jc w:val="both"/>
        <w:rPr>
          <w:rFonts w:eastAsia="Calibri"/>
          <w:color w:val="000000"/>
        </w:rPr>
      </w:pPr>
      <w:r w:rsidRPr="00EC5446">
        <w:rPr>
          <w:rFonts w:eastAsia="Calibri"/>
          <w:color w:val="000000"/>
        </w:rPr>
        <w:t xml:space="preserve">Анализ деятельности отдела по лицензированию фармацевтической и медицинской деятельности министерства здравоохранения Калужской области по лицензированию фармацевтической деятельности </w:t>
      </w:r>
      <w:r w:rsidRPr="00E97016">
        <w:rPr>
          <w:rFonts w:eastAsia="Calibri"/>
          <w:color w:val="000000"/>
        </w:rPr>
        <w:t>за 202</w:t>
      </w:r>
      <w:r>
        <w:rPr>
          <w:rFonts w:eastAsia="Calibri"/>
          <w:color w:val="000000"/>
        </w:rPr>
        <w:t>1</w:t>
      </w:r>
      <w:r w:rsidRPr="00E97016">
        <w:rPr>
          <w:rFonts w:eastAsia="Calibri"/>
          <w:color w:val="000000"/>
        </w:rPr>
        <w:t xml:space="preserve"> год</w:t>
      </w:r>
      <w:r w:rsidRPr="00EC5446">
        <w:rPr>
          <w:rFonts w:eastAsia="Calibri"/>
          <w:color w:val="000000"/>
        </w:rPr>
        <w:t xml:space="preserve"> позволяет сделать следующие выводы: </w:t>
      </w:r>
    </w:p>
    <w:p w14:paraId="60FB77CE" w14:textId="77777777" w:rsidR="00A263AA" w:rsidRDefault="00A263AA" w:rsidP="00A263AA">
      <w:pPr>
        <w:autoSpaceDE w:val="0"/>
        <w:autoSpaceDN w:val="0"/>
        <w:adjustRightInd w:val="0"/>
        <w:spacing w:line="276" w:lineRule="auto"/>
        <w:ind w:firstLine="709"/>
        <w:jc w:val="both"/>
        <w:rPr>
          <w:rFonts w:eastAsia="Calibri"/>
        </w:rPr>
      </w:pPr>
      <w:r w:rsidRPr="00EC22F0">
        <w:rPr>
          <w:rFonts w:eastAsia="Calibri"/>
        </w:rPr>
        <w:t xml:space="preserve">- предоставление государственных услуг осуществляется в </w:t>
      </w:r>
      <w:r>
        <w:rPr>
          <w:rFonts w:eastAsia="Calibri"/>
        </w:rPr>
        <w:t>соответствии с административным регламентом</w:t>
      </w:r>
      <w:r w:rsidRPr="00EC22F0">
        <w:rPr>
          <w:rFonts w:eastAsia="Calibri"/>
        </w:rPr>
        <w:t xml:space="preserve">, в установленные сроки; </w:t>
      </w:r>
    </w:p>
    <w:p w14:paraId="2A30116C" w14:textId="77777777" w:rsidR="00A263AA" w:rsidRPr="00EC22F0" w:rsidRDefault="00A263AA" w:rsidP="00A263AA">
      <w:pPr>
        <w:pStyle w:val="western"/>
        <w:spacing w:before="0" w:beforeAutospacing="0" w:after="0" w:afterAutospacing="0"/>
        <w:ind w:firstLine="709"/>
        <w:jc w:val="both"/>
        <w:rPr>
          <w:rFonts w:eastAsia="Calibri"/>
        </w:rPr>
      </w:pPr>
      <w:r>
        <w:t>- обеспечено информирование общественности о результатах</w:t>
      </w:r>
      <w:r>
        <w:rPr>
          <w:color w:val="FF0000"/>
        </w:rPr>
        <w:t xml:space="preserve"> </w:t>
      </w:r>
      <w:r>
        <w:rPr>
          <w:color w:val="000000"/>
        </w:rPr>
        <w:t>разрешительной деятельности министерства здравоохранения Калужской области путем размещения информации на официальном сайте министерства;</w:t>
      </w:r>
    </w:p>
    <w:p w14:paraId="1119322E" w14:textId="77777777" w:rsidR="00A263AA" w:rsidRPr="00EC22F0" w:rsidRDefault="00A263AA" w:rsidP="00A263AA">
      <w:pPr>
        <w:autoSpaceDE w:val="0"/>
        <w:autoSpaceDN w:val="0"/>
        <w:adjustRightInd w:val="0"/>
        <w:spacing w:line="276" w:lineRule="auto"/>
        <w:ind w:firstLine="709"/>
        <w:jc w:val="both"/>
        <w:rPr>
          <w:rFonts w:eastAsia="Calibri"/>
          <w:color w:val="FF0000"/>
        </w:rPr>
      </w:pPr>
      <w:r w:rsidRPr="00EC22F0">
        <w:rPr>
          <w:rFonts w:eastAsia="Calibri"/>
        </w:rPr>
        <w:t xml:space="preserve">- обеспечивается межведомственное информационное взаимодействие с федеральными органами исполнительной власти, </w:t>
      </w:r>
      <w:r w:rsidRPr="00EC22F0">
        <w:t>участвующими в предоставлении государственных услуг;</w:t>
      </w:r>
    </w:p>
    <w:p w14:paraId="0EA6CF4D" w14:textId="77777777" w:rsidR="00A263AA" w:rsidRPr="00EC22F0" w:rsidRDefault="00A263AA" w:rsidP="00A263AA">
      <w:pPr>
        <w:autoSpaceDE w:val="0"/>
        <w:autoSpaceDN w:val="0"/>
        <w:adjustRightInd w:val="0"/>
        <w:spacing w:line="276" w:lineRule="auto"/>
        <w:ind w:firstLine="709"/>
        <w:jc w:val="both"/>
      </w:pPr>
      <w:r w:rsidRPr="00EC22F0">
        <w:t>- отсутствуют жалобы и заявлени</w:t>
      </w:r>
      <w:r>
        <w:t>я</w:t>
      </w:r>
      <w:r w:rsidRPr="00EC22F0">
        <w:t xml:space="preserve"> со стороны соискателей лицензии (лицензиатов) в связи с невыполнением (ненадлежащим исполнением) органом исполнительной власти субъекта Российской Федерации или его должностным лицом государственной услуги.</w:t>
      </w:r>
    </w:p>
    <w:p w14:paraId="306B867B" w14:textId="77777777" w:rsidR="00A263AA" w:rsidRPr="00783DB6" w:rsidRDefault="00A263AA" w:rsidP="00A263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sz w:val="28"/>
          <w:szCs w:val="28"/>
        </w:rPr>
        <w:tab/>
      </w:r>
      <w:r w:rsidRPr="00783DB6">
        <w:t>В целях оптимизации осуществления лицензирования фармацевтической деятельности предлагаем:</w:t>
      </w:r>
    </w:p>
    <w:p w14:paraId="2812D76E" w14:textId="77777777" w:rsidR="00A263AA" w:rsidRDefault="00A263AA" w:rsidP="00A263AA">
      <w:pPr>
        <w:pStyle w:val="ConsPlusNonformat"/>
        <w:widowControl/>
        <w:tabs>
          <w:tab w:val="left" w:pos="9720"/>
        </w:tabs>
        <w:ind w:right="-55" w:firstLine="709"/>
        <w:jc w:val="both"/>
        <w:rPr>
          <w:rFonts w:ascii="Times New Roman" w:hAnsi="Times New Roman" w:cs="Times New Roman"/>
          <w:sz w:val="24"/>
          <w:szCs w:val="24"/>
        </w:rPr>
      </w:pPr>
      <w:r w:rsidRPr="00875E34">
        <w:rPr>
          <w:rFonts w:ascii="Times New Roman" w:hAnsi="Times New Roman" w:cs="Times New Roman"/>
          <w:sz w:val="24"/>
          <w:szCs w:val="24"/>
        </w:rPr>
        <w:t>- принять подзаконный нормативный правовой акт, конкретизирующий требования к</w:t>
      </w:r>
      <w:r w:rsidRPr="00783DB6">
        <w:t xml:space="preserve"> </w:t>
      </w:r>
      <w:r w:rsidRPr="00325135">
        <w:rPr>
          <w:rFonts w:ascii="Times New Roman" w:hAnsi="Times New Roman" w:cs="Times New Roman"/>
          <w:sz w:val="24"/>
          <w:szCs w:val="24"/>
        </w:rPr>
        <w:t>помещениям различных аптечных организаций (аптека, аптечный пункт и т.</w:t>
      </w:r>
      <w:r>
        <w:rPr>
          <w:rFonts w:ascii="Times New Roman" w:hAnsi="Times New Roman" w:cs="Times New Roman"/>
          <w:sz w:val="24"/>
          <w:szCs w:val="24"/>
        </w:rPr>
        <w:t xml:space="preserve"> </w:t>
      </w:r>
      <w:r w:rsidRPr="00325135">
        <w:rPr>
          <w:rFonts w:ascii="Times New Roman" w:hAnsi="Times New Roman" w:cs="Times New Roman"/>
          <w:sz w:val="24"/>
          <w:szCs w:val="24"/>
        </w:rPr>
        <w:t>д),</w:t>
      </w:r>
      <w:r>
        <w:rPr>
          <w:rFonts w:ascii="Times New Roman" w:hAnsi="Times New Roman" w:cs="Times New Roman"/>
          <w:sz w:val="24"/>
          <w:szCs w:val="24"/>
        </w:rPr>
        <w:t xml:space="preserve"> раскрывающий понятия «аптека», «аптечный пункт», «аптечный киоск»,</w:t>
      </w:r>
      <w:r w:rsidRPr="00325135">
        <w:rPr>
          <w:rFonts w:ascii="Times New Roman" w:hAnsi="Times New Roman" w:cs="Times New Roman"/>
          <w:sz w:val="24"/>
          <w:szCs w:val="24"/>
        </w:rPr>
        <w:t xml:space="preserve"> нормативные правовые акты, </w:t>
      </w:r>
      <w:r>
        <w:rPr>
          <w:rFonts w:ascii="Times New Roman" w:hAnsi="Times New Roman" w:cs="Times New Roman"/>
          <w:sz w:val="24"/>
          <w:szCs w:val="24"/>
        </w:rPr>
        <w:t>устанавливающие стандарты их деятельности;</w:t>
      </w:r>
    </w:p>
    <w:p w14:paraId="75DF5A05" w14:textId="77777777" w:rsidR="00A263AA" w:rsidRPr="00AC1F41" w:rsidRDefault="00A263AA" w:rsidP="00A263AA">
      <w:pPr>
        <w:pStyle w:val="ConsPlusNormal"/>
        <w:widowControl/>
        <w:jc w:val="both"/>
        <w:rPr>
          <w:rFonts w:ascii="Times New Roman" w:hAnsi="Times New Roman" w:cs="Times New Roman"/>
          <w:sz w:val="24"/>
          <w:szCs w:val="24"/>
        </w:rPr>
      </w:pPr>
      <w:r>
        <w:rPr>
          <w:rFonts w:ascii="Times New Roman" w:hAnsi="Times New Roman" w:cs="Times New Roman"/>
          <w:iCs/>
          <w:sz w:val="24"/>
          <w:szCs w:val="24"/>
        </w:rPr>
        <w:t>Лицензирование</w:t>
      </w:r>
      <w:r w:rsidRPr="004456FD">
        <w:rPr>
          <w:rFonts w:ascii="Times New Roman" w:hAnsi="Times New Roman" w:cs="Times New Roman"/>
          <w:iCs/>
          <w:sz w:val="24"/>
          <w:szCs w:val="24"/>
        </w:rPr>
        <w:t xml:space="preserve"> фармацевтической деятельности </w:t>
      </w:r>
      <w:r w:rsidRPr="00AC1F41">
        <w:rPr>
          <w:rFonts w:ascii="Times New Roman" w:hAnsi="Times New Roman" w:cs="Times New Roman"/>
          <w:sz w:val="24"/>
          <w:szCs w:val="24"/>
        </w:rPr>
        <w:t>стимулирует юридических лиц и индивидуальных предпринимателей к реализации населению безопасных, качественных и эффективных лекарственных препаратов</w:t>
      </w:r>
      <w:r>
        <w:rPr>
          <w:rFonts w:ascii="Times New Roman" w:hAnsi="Times New Roman" w:cs="Times New Roman"/>
          <w:sz w:val="24"/>
          <w:szCs w:val="24"/>
        </w:rPr>
        <w:t>.</w:t>
      </w:r>
    </w:p>
    <w:p w14:paraId="148D6176" w14:textId="77777777" w:rsidR="00A263AA" w:rsidRDefault="00A263AA" w:rsidP="00A263AA">
      <w:pPr>
        <w:autoSpaceDE w:val="0"/>
        <w:autoSpaceDN w:val="0"/>
        <w:adjustRightInd w:val="0"/>
        <w:ind w:firstLine="708"/>
        <w:jc w:val="both"/>
      </w:pPr>
      <w:r>
        <w:t>С</w:t>
      </w:r>
      <w:r w:rsidRPr="00965BE0">
        <w:t xml:space="preserve">читаем целесообразным </w:t>
      </w:r>
      <w:r>
        <w:t>с</w:t>
      </w:r>
      <w:r w:rsidRPr="00965BE0">
        <w:t>охранение режима лицензировани</w:t>
      </w:r>
      <w:r>
        <w:t>я фармацевтической деятельности, это необходимо в целях защиты основ здоровья, прав и законных интересов граждан.</w:t>
      </w:r>
    </w:p>
    <w:p w14:paraId="0EE0B839" w14:textId="77777777" w:rsidR="00A263AA" w:rsidRPr="00965BE0" w:rsidRDefault="00A263AA" w:rsidP="00A263AA">
      <w:pPr>
        <w:autoSpaceDE w:val="0"/>
        <w:autoSpaceDN w:val="0"/>
        <w:adjustRightInd w:val="0"/>
        <w:ind w:firstLine="708"/>
        <w:jc w:val="both"/>
      </w:pPr>
    </w:p>
    <w:p w14:paraId="5E0819B4" w14:textId="77777777" w:rsidR="00A263AA" w:rsidRDefault="00A263AA" w:rsidP="00A263AA">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14:paraId="77CEF4AA" w14:textId="77777777" w:rsidR="00A263AA" w:rsidRDefault="00A263AA" w:rsidP="00A263AA">
      <w:pPr>
        <w:autoSpaceDE w:val="0"/>
        <w:autoSpaceDN w:val="0"/>
        <w:adjustRightInd w:val="0"/>
        <w:ind w:firstLine="540"/>
        <w:jc w:val="both"/>
      </w:pPr>
    </w:p>
    <w:p w14:paraId="598D1BA3" w14:textId="77777777" w:rsidR="00A263AA" w:rsidRDefault="00A263AA" w:rsidP="00A263AA">
      <w:pPr>
        <w:autoSpaceDE w:val="0"/>
        <w:autoSpaceDN w:val="0"/>
        <w:adjustRightInd w:val="0"/>
        <w:ind w:firstLine="540"/>
        <w:jc w:val="both"/>
      </w:pPr>
    </w:p>
    <w:p w14:paraId="156A1C0D" w14:textId="77777777" w:rsidR="00A263AA" w:rsidRDefault="00A263AA" w:rsidP="00A263AA">
      <w:pPr>
        <w:autoSpaceDE w:val="0"/>
        <w:autoSpaceDN w:val="0"/>
        <w:adjustRightInd w:val="0"/>
        <w:ind w:firstLine="540"/>
        <w:jc w:val="both"/>
      </w:pPr>
    </w:p>
    <w:p w14:paraId="22C2DE6A" w14:textId="77777777" w:rsidR="00A263AA" w:rsidRDefault="00A263AA" w:rsidP="00A263AA">
      <w:pPr>
        <w:autoSpaceDE w:val="0"/>
        <w:autoSpaceDN w:val="0"/>
        <w:adjustRightInd w:val="0"/>
        <w:ind w:firstLine="540"/>
        <w:jc w:val="both"/>
      </w:pPr>
    </w:p>
    <w:p w14:paraId="28DB4B1F" w14:textId="77777777" w:rsidR="00A263AA" w:rsidRDefault="00A263AA" w:rsidP="00A263AA">
      <w:pPr>
        <w:autoSpaceDE w:val="0"/>
        <w:autoSpaceDN w:val="0"/>
        <w:adjustRightInd w:val="0"/>
        <w:jc w:val="both"/>
        <w:rPr>
          <w:b/>
        </w:rPr>
      </w:pPr>
      <w:r>
        <w:rPr>
          <w:b/>
        </w:rPr>
        <w:t>М</w:t>
      </w:r>
      <w:r w:rsidRPr="007A15A7">
        <w:rPr>
          <w:b/>
        </w:rPr>
        <w:t xml:space="preserve">инистр </w:t>
      </w:r>
      <w:r>
        <w:rPr>
          <w:b/>
        </w:rPr>
        <w:tab/>
      </w:r>
      <w:r>
        <w:rPr>
          <w:b/>
        </w:rPr>
        <w:tab/>
      </w:r>
      <w:r>
        <w:rPr>
          <w:b/>
        </w:rPr>
        <w:tab/>
      </w:r>
      <w:r>
        <w:rPr>
          <w:b/>
        </w:rPr>
        <w:tab/>
      </w:r>
      <w:r>
        <w:rPr>
          <w:b/>
        </w:rPr>
        <w:tab/>
      </w:r>
      <w:r>
        <w:rPr>
          <w:b/>
        </w:rPr>
        <w:tab/>
      </w:r>
      <w:r>
        <w:rPr>
          <w:b/>
        </w:rPr>
        <w:tab/>
      </w:r>
      <w:r>
        <w:rPr>
          <w:b/>
        </w:rPr>
        <w:tab/>
        <w:t xml:space="preserve">                                  К.В. Пахоменко</w:t>
      </w:r>
    </w:p>
    <w:p w14:paraId="7FDDAA17" w14:textId="77777777" w:rsidR="00A263AA" w:rsidRDefault="00A263AA" w:rsidP="00A263AA">
      <w:pPr>
        <w:rPr>
          <w:sz w:val="20"/>
          <w:szCs w:val="20"/>
        </w:rPr>
      </w:pPr>
      <w:r>
        <w:rPr>
          <w:sz w:val="20"/>
          <w:szCs w:val="20"/>
        </w:rPr>
        <w:t xml:space="preserve"> </w:t>
      </w:r>
    </w:p>
    <w:p w14:paraId="6FB1C7C1" w14:textId="77777777" w:rsidR="00A263AA" w:rsidRDefault="00A263AA" w:rsidP="00A263AA">
      <w:pPr>
        <w:rPr>
          <w:sz w:val="20"/>
          <w:szCs w:val="20"/>
        </w:rPr>
      </w:pPr>
    </w:p>
    <w:p w14:paraId="384C1546" w14:textId="77777777" w:rsidR="00A263AA" w:rsidRDefault="00A263AA" w:rsidP="00A263AA">
      <w:pPr>
        <w:rPr>
          <w:sz w:val="20"/>
          <w:szCs w:val="20"/>
        </w:rPr>
      </w:pPr>
    </w:p>
    <w:p w14:paraId="59D8EC0E" w14:textId="77777777" w:rsidR="00A263AA" w:rsidRDefault="00A263AA" w:rsidP="00A263AA">
      <w:pPr>
        <w:rPr>
          <w:sz w:val="20"/>
          <w:szCs w:val="20"/>
        </w:rPr>
      </w:pPr>
    </w:p>
    <w:p w14:paraId="71E4B5D1" w14:textId="77777777" w:rsidR="00A263AA" w:rsidRDefault="00A263AA" w:rsidP="00A263AA">
      <w:pPr>
        <w:rPr>
          <w:sz w:val="20"/>
          <w:szCs w:val="20"/>
        </w:rPr>
      </w:pPr>
    </w:p>
    <w:p w14:paraId="6E1FFFDE" w14:textId="77777777" w:rsidR="00A263AA" w:rsidRDefault="00A263AA" w:rsidP="00A263AA">
      <w:pPr>
        <w:rPr>
          <w:sz w:val="20"/>
          <w:szCs w:val="20"/>
        </w:rPr>
      </w:pPr>
      <w:r>
        <w:rPr>
          <w:sz w:val="20"/>
          <w:szCs w:val="20"/>
        </w:rPr>
        <w:t>Челяева В.М. т. (4842) 719-012</w:t>
      </w:r>
    </w:p>
    <w:p w14:paraId="5CA7EC0C" w14:textId="77777777" w:rsidR="00A263AA" w:rsidRDefault="00A263AA" w:rsidP="00A263AA">
      <w:pPr>
        <w:rPr>
          <w:sz w:val="20"/>
          <w:szCs w:val="20"/>
        </w:rPr>
      </w:pPr>
      <w:hyperlink r:id="rId9" w:history="1">
        <w:r w:rsidRPr="00063298">
          <w:rPr>
            <w:rStyle w:val="ab"/>
            <w:sz w:val="20"/>
            <w:szCs w:val="20"/>
          </w:rPr>
          <w:t>chelyaeva@adm.kaluga.ru</w:t>
        </w:r>
      </w:hyperlink>
    </w:p>
    <w:p w14:paraId="311760B3" w14:textId="77777777" w:rsidR="00A263AA" w:rsidRDefault="00A263AA" w:rsidP="00A263AA">
      <w:pPr>
        <w:rPr>
          <w:sz w:val="20"/>
          <w:szCs w:val="20"/>
        </w:rPr>
      </w:pPr>
    </w:p>
    <w:p w14:paraId="68E592C9" w14:textId="77777777" w:rsidR="00A263AA" w:rsidRDefault="00A263AA" w:rsidP="00A263AA">
      <w:pPr>
        <w:rPr>
          <w:sz w:val="20"/>
          <w:szCs w:val="20"/>
        </w:rPr>
      </w:pPr>
    </w:p>
    <w:p w14:paraId="56BE8D55" w14:textId="77777777" w:rsidR="00227134" w:rsidRPr="001C62EA" w:rsidRDefault="00227134">
      <w:pPr>
        <w:rPr>
          <w:sz w:val="32"/>
          <w:szCs w:val="32"/>
        </w:rPr>
      </w:pPr>
    </w:p>
    <w:sectPr w:rsidR="00227134" w:rsidRPr="001C62EA" w:rsidSect="00A263AA">
      <w:headerReference w:type="default" r:id="rId10"/>
      <w:footerReference w:type="defaul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B4F5" w14:textId="77777777" w:rsidR="00A82330" w:rsidRDefault="00A82330">
      <w:r>
        <w:separator/>
      </w:r>
    </w:p>
  </w:endnote>
  <w:endnote w:type="continuationSeparator" w:id="0">
    <w:p w14:paraId="1DE1ABAE" w14:textId="77777777" w:rsidR="00A82330" w:rsidRDefault="00A8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6FBE" w14:textId="77777777" w:rsidR="00227134" w:rsidRDefault="001B2060">
    <w:pPr>
      <w:pStyle w:val="a5"/>
      <w:jc w:val="center"/>
    </w:pPr>
    <w:r>
      <w:fldChar w:fldCharType="begin"/>
    </w:r>
    <w:r>
      <w:instrText xml:space="preserve"> PAGE   \* MERGEFORMAT </w:instrText>
    </w:r>
    <w:r>
      <w:fldChar w:fldCharType="separate"/>
    </w:r>
    <w:r w:rsidR="00503CD7">
      <w:rPr>
        <w:noProof/>
      </w:rPr>
      <w:t>1</w:t>
    </w:r>
    <w:r>
      <w:fldChar w:fldCharType="end"/>
    </w:r>
  </w:p>
  <w:p w14:paraId="3261A903" w14:textId="77777777" w:rsidR="00227134" w:rsidRDefault="00227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DEB0" w14:textId="77777777" w:rsidR="00A82330" w:rsidRDefault="00A82330">
      <w:r>
        <w:separator/>
      </w:r>
    </w:p>
  </w:footnote>
  <w:footnote w:type="continuationSeparator" w:id="0">
    <w:p w14:paraId="36D16275" w14:textId="77777777" w:rsidR="00A82330" w:rsidRDefault="00A8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BEEA" w14:textId="77777777" w:rsidR="00227134" w:rsidRDefault="0022713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1030"/>
    <w:multiLevelType w:val="hybridMultilevel"/>
    <w:tmpl w:val="CB60DDD8"/>
    <w:lvl w:ilvl="0" w:tplc="04190001">
      <w:start w:val="1"/>
      <w:numFmt w:val="bullet"/>
      <w:lvlText w:val=""/>
      <w:lvlJc w:val="left"/>
      <w:pPr>
        <w:tabs>
          <w:tab w:val="num" w:pos="720"/>
        </w:tabs>
        <w:ind w:left="720" w:hanging="360"/>
      </w:pPr>
      <w:rPr>
        <w:rFonts w:ascii="Symbol" w:hAnsi="Symbol"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01"/>
    <w:rsid w:val="000164F0"/>
    <w:rsid w:val="000434BB"/>
    <w:rsid w:val="00044643"/>
    <w:rsid w:val="001B2060"/>
    <w:rsid w:val="001C62EA"/>
    <w:rsid w:val="00227134"/>
    <w:rsid w:val="002B02BC"/>
    <w:rsid w:val="00503CD7"/>
    <w:rsid w:val="006104AC"/>
    <w:rsid w:val="00A263AA"/>
    <w:rsid w:val="00A82330"/>
    <w:rsid w:val="00C024DD"/>
    <w:rsid w:val="00CA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044B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sz w:val="24"/>
      <w:szCs w:val="24"/>
    </w:rPr>
  </w:style>
  <w:style w:type="paragraph" w:styleId="a5">
    <w:name w:val="footer"/>
    <w:basedOn w:val="a"/>
    <w:semiHidden/>
    <w:unhideWhenUsed/>
    <w:pPr>
      <w:tabs>
        <w:tab w:val="center" w:pos="4677"/>
        <w:tab w:val="right" w:pos="9355"/>
      </w:tabs>
    </w:pPr>
  </w:style>
  <w:style w:type="character" w:customStyle="1" w:styleId="a6">
    <w:name w:val="Нижний колонтитул Знак"/>
    <w:basedOn w:val="a0"/>
    <w:rPr>
      <w:rFonts w:ascii="Times New Roman" w:eastAsia="Times New Roman" w:hAnsi="Times New Roman"/>
      <w:sz w:val="24"/>
      <w:szCs w:val="24"/>
    </w:rPr>
  </w:style>
  <w:style w:type="paragraph" w:styleId="a7">
    <w:name w:val="Balloon Text"/>
    <w:basedOn w:val="a"/>
    <w:semiHidden/>
    <w:unhideWhenUsed/>
    <w:rPr>
      <w:rFonts w:ascii="Tahoma" w:hAnsi="Tahoma" w:cs="Tahoma"/>
      <w:sz w:val="16"/>
      <w:szCs w:val="16"/>
    </w:rPr>
  </w:style>
  <w:style w:type="character" w:customStyle="1" w:styleId="a8">
    <w:name w:val="Текст выноски Знак"/>
    <w:basedOn w:val="a0"/>
    <w:semiHidden/>
    <w:rPr>
      <w:rFonts w:ascii="Tahoma" w:eastAsia="Times New Roman" w:hAnsi="Tahoma" w:cs="Tahoma"/>
      <w:sz w:val="16"/>
      <w:szCs w:val="16"/>
    </w:rPr>
  </w:style>
  <w:style w:type="paragraph" w:customStyle="1" w:styleId="ConsPlusNormal">
    <w:name w:val="ConsPlusNormal"/>
    <w:rsid w:val="00A263AA"/>
    <w:pPr>
      <w:widowControl w:val="0"/>
      <w:autoSpaceDE w:val="0"/>
      <w:autoSpaceDN w:val="0"/>
      <w:adjustRightInd w:val="0"/>
      <w:ind w:firstLine="720"/>
    </w:pPr>
    <w:rPr>
      <w:rFonts w:ascii="Arial" w:eastAsia="Times New Roman" w:hAnsi="Arial" w:cs="Arial"/>
    </w:rPr>
  </w:style>
  <w:style w:type="paragraph" w:styleId="a9">
    <w:name w:val="Body Text"/>
    <w:basedOn w:val="a"/>
    <w:link w:val="aa"/>
    <w:rsid w:val="00A263AA"/>
    <w:pPr>
      <w:jc w:val="both"/>
    </w:pPr>
    <w:rPr>
      <w:sz w:val="28"/>
    </w:rPr>
  </w:style>
  <w:style w:type="character" w:customStyle="1" w:styleId="aa">
    <w:name w:val="Основной текст Знак"/>
    <w:basedOn w:val="a0"/>
    <w:link w:val="a9"/>
    <w:rsid w:val="00A263AA"/>
    <w:rPr>
      <w:rFonts w:ascii="Times New Roman" w:eastAsia="Times New Roman" w:hAnsi="Times New Roman"/>
      <w:sz w:val="28"/>
      <w:szCs w:val="24"/>
    </w:rPr>
  </w:style>
  <w:style w:type="paragraph" w:customStyle="1" w:styleId="ConsPlusTitle">
    <w:name w:val="ConsPlusTitle"/>
    <w:rsid w:val="00A263AA"/>
    <w:pPr>
      <w:widowControl w:val="0"/>
      <w:autoSpaceDE w:val="0"/>
      <w:autoSpaceDN w:val="0"/>
      <w:adjustRightInd w:val="0"/>
    </w:pPr>
    <w:rPr>
      <w:rFonts w:ascii="Arial" w:eastAsia="Times New Roman" w:hAnsi="Arial" w:cs="Arial"/>
      <w:b/>
      <w:bCs/>
    </w:rPr>
  </w:style>
  <w:style w:type="character" w:styleId="ab">
    <w:name w:val="Hyperlink"/>
    <w:rsid w:val="00A263AA"/>
    <w:rPr>
      <w:color w:val="0000FF"/>
      <w:u w:val="single"/>
    </w:rPr>
  </w:style>
  <w:style w:type="paragraph" w:customStyle="1" w:styleId="NoSpacing">
    <w:name w:val="No Spacing"/>
    <w:rsid w:val="00A263AA"/>
    <w:rPr>
      <w:rFonts w:eastAsia="Times New Roman"/>
      <w:sz w:val="22"/>
      <w:szCs w:val="22"/>
    </w:rPr>
  </w:style>
  <w:style w:type="character" w:styleId="ac">
    <w:name w:val="Strong"/>
    <w:uiPriority w:val="22"/>
    <w:qFormat/>
    <w:rsid w:val="00A263AA"/>
    <w:rPr>
      <w:b/>
      <w:bCs/>
    </w:rPr>
  </w:style>
  <w:style w:type="paragraph" w:customStyle="1" w:styleId="Default">
    <w:name w:val="Default"/>
    <w:rsid w:val="00A263AA"/>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A263AA"/>
    <w:pPr>
      <w:widowControl w:val="0"/>
      <w:autoSpaceDE w:val="0"/>
      <w:autoSpaceDN w:val="0"/>
      <w:adjustRightInd w:val="0"/>
    </w:pPr>
    <w:rPr>
      <w:rFonts w:ascii="Courier New" w:eastAsia="Times New Roman" w:hAnsi="Courier New" w:cs="Courier New"/>
    </w:rPr>
  </w:style>
  <w:style w:type="paragraph" w:customStyle="1" w:styleId="western">
    <w:name w:val="western"/>
    <w:basedOn w:val="a"/>
    <w:rsid w:val="00A263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blkaluga.ru/sub/health/lice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suslugi.admoblkaluga.ru/web/guest/ma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elyaeva@adm.ka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4965</Words>
  <Characters>28301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2022-02-15T14:06:00Z</dcterms:created>
  <dcterms:modified xsi:type="dcterms:W3CDTF">2022-02-15T14:06:00Z</dcterms:modified>
</cp:coreProperties>
</file>