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64" w:rsidRDefault="006C6164" w:rsidP="006C6164">
      <w:pPr>
        <w:pStyle w:val="ConsPlusNormal"/>
        <w:widowControl/>
        <w:ind w:firstLine="0"/>
        <w:jc w:val="center"/>
        <w:outlineLvl w:val="1"/>
      </w:pPr>
      <w:r>
        <w:t>Форма 5.3. Информация об инвестиционных программах</w:t>
      </w:r>
    </w:p>
    <w:p w:rsidR="006C6164" w:rsidRDefault="006C6164" w:rsidP="006C6164">
      <w:pPr>
        <w:pStyle w:val="ConsPlusNormal"/>
        <w:widowControl/>
        <w:ind w:firstLine="0"/>
        <w:jc w:val="center"/>
      </w:pPr>
      <w:r>
        <w:t xml:space="preserve">и </w:t>
      </w:r>
      <w:proofErr w:type="gramStart"/>
      <w:r>
        <w:t>отчетах</w:t>
      </w:r>
      <w:proofErr w:type="gramEnd"/>
      <w:r>
        <w:t xml:space="preserve"> об их реализации </w:t>
      </w:r>
      <w:hyperlink r:id="rId5" w:history="1">
        <w:r>
          <w:rPr>
            <w:color w:val="0000FF"/>
          </w:rPr>
          <w:t>&lt;1&gt;</w:t>
        </w:r>
      </w:hyperlink>
      <w:r>
        <w:t>-</w:t>
      </w:r>
      <w:hyperlink r:id="rId6" w:history="1">
        <w:r>
          <w:rPr>
            <w:color w:val="0000FF"/>
          </w:rPr>
          <w:t>&lt;3&gt;</w:t>
        </w:r>
      </w:hyperlink>
    </w:p>
    <w:p w:rsidR="006C6164" w:rsidRDefault="006C6164" w:rsidP="006C6164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4320"/>
      </w:tblGrid>
      <w:tr w:rsidR="006C6164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а) наименование инвестиционной программы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>Инвестиционная программа не утверждалась.</w:t>
            </w:r>
          </w:p>
        </w:tc>
      </w:tr>
      <w:tr w:rsidR="006C6164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б) цель инвестиционной программы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</w:tr>
      <w:tr w:rsidR="006C6164" w:rsidTr="00EC16A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в) сроки начала и окончания реализации   </w:t>
            </w:r>
            <w:r>
              <w:br/>
              <w:t xml:space="preserve">инвестиционной программы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</w:tr>
    </w:tbl>
    <w:p w:rsidR="006C6164" w:rsidRDefault="006C6164" w:rsidP="006C6164">
      <w:pPr>
        <w:pStyle w:val="ConsPlusNormal"/>
        <w:widowControl/>
        <w:ind w:firstLine="0"/>
      </w:pPr>
    </w:p>
    <w:p w:rsidR="006C6164" w:rsidRDefault="006C6164" w:rsidP="006C6164">
      <w:pPr>
        <w:pStyle w:val="ConsPlusNormal"/>
        <w:widowControl/>
        <w:ind w:firstLine="0"/>
        <w:jc w:val="center"/>
      </w:pPr>
      <w:r>
        <w:t>г) потребности в финансовых средствах, необходимых</w:t>
      </w:r>
    </w:p>
    <w:p w:rsidR="006C6164" w:rsidRDefault="006C6164" w:rsidP="006C6164">
      <w:pPr>
        <w:pStyle w:val="ConsPlusNormal"/>
        <w:widowControl/>
        <w:ind w:firstLine="0"/>
        <w:jc w:val="center"/>
      </w:pPr>
      <w:r>
        <w:t>для реализации инвестиционной программы</w:t>
      </w:r>
    </w:p>
    <w:p w:rsidR="006C6164" w:rsidRDefault="006C6164" w:rsidP="006C6164">
      <w:pPr>
        <w:pStyle w:val="ConsPlusNormal"/>
        <w:widowControl/>
        <w:ind w:firstLine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5"/>
        <w:gridCol w:w="2700"/>
        <w:gridCol w:w="2025"/>
      </w:tblGrid>
      <w:tr w:rsidR="006C6164" w:rsidTr="00EC16A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Наименование мероприятия &lt;4&gt;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Потребность в   </w:t>
            </w:r>
            <w:r>
              <w:br/>
              <w:t xml:space="preserve">финансовых     </w:t>
            </w:r>
            <w:r>
              <w:br/>
              <w:t xml:space="preserve">средствах     </w:t>
            </w:r>
            <w:r>
              <w:br/>
              <w:t xml:space="preserve">на __________ год, </w:t>
            </w:r>
            <w:r>
              <w:br/>
              <w:t xml:space="preserve">тыс. руб.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Источник   </w:t>
            </w:r>
            <w:r>
              <w:br/>
              <w:t>финансирования</w:t>
            </w:r>
          </w:p>
        </w:tc>
      </w:tr>
      <w:tr w:rsidR="006C6164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Всего, в том числе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</w:tr>
      <w:tr w:rsidR="006C6164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1.        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</w:tr>
      <w:tr w:rsidR="006C6164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2.        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</w:tr>
      <w:tr w:rsidR="006C6164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и т.д.    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</w:tr>
    </w:tbl>
    <w:p w:rsidR="006C6164" w:rsidRDefault="006C6164" w:rsidP="006C6164">
      <w:pPr>
        <w:pStyle w:val="ConsPlusNormal"/>
        <w:widowControl/>
        <w:ind w:firstLine="540"/>
        <w:jc w:val="both"/>
      </w:pPr>
    </w:p>
    <w:p w:rsidR="006C6164" w:rsidRDefault="006C6164" w:rsidP="006C6164">
      <w:pPr>
        <w:pStyle w:val="ConsPlusNonformat"/>
        <w:widowControl/>
        <w:ind w:firstLine="540"/>
        <w:jc w:val="both"/>
      </w:pPr>
      <w:r>
        <w:t>--------------------------------</w:t>
      </w:r>
    </w:p>
    <w:p w:rsidR="006C6164" w:rsidRDefault="006C6164" w:rsidP="006C6164">
      <w:pPr>
        <w:pStyle w:val="ConsPlusNormal"/>
        <w:widowControl/>
        <w:ind w:firstLine="540"/>
        <w:jc w:val="both"/>
      </w:pPr>
      <w:r>
        <w:t xml:space="preserve">&lt;1&gt; - в официальных печатных изданиях сведения, указанные в </w:t>
      </w:r>
      <w:hyperlink r:id="rId7" w:history="1">
        <w:r>
          <w:rPr>
            <w:color w:val="0000FF"/>
          </w:rPr>
          <w:t xml:space="preserve">пунктах </w:t>
        </w:r>
        <w:proofErr w:type="gramStart"/>
        <w:r>
          <w:rPr>
            <w:color w:val="0000FF"/>
          </w:rPr>
          <w:t>г</w:t>
        </w:r>
        <w:proofErr w:type="gramEnd"/>
      </w:hyperlink>
      <w:r>
        <w:t>-</w:t>
      </w:r>
      <w:hyperlink r:id="rId8" w:history="1">
        <w:r>
          <w:rPr>
            <w:color w:val="0000FF"/>
          </w:rPr>
          <w:t>е</w:t>
        </w:r>
      </w:hyperlink>
      <w:r>
        <w:t>, публикуются в отношении мероприятий инвестиционной программы, доля расходов на реализацию каждого из которых превышает 5% суммы финансирования инвестиционной программы за отчетный год;</w:t>
      </w:r>
    </w:p>
    <w:p w:rsidR="006C6164" w:rsidRDefault="006C6164" w:rsidP="006C6164">
      <w:pPr>
        <w:pStyle w:val="ConsPlusNormal"/>
        <w:widowControl/>
        <w:ind w:firstLine="540"/>
        <w:jc w:val="both"/>
      </w:pPr>
      <w:r>
        <w:t>&lt;2&gt; - информация раскрывается регулируемой организацией не позднее 30 дней со дня сдачи годового бухгалтерского баланса в налоговые органы и должна соответствовать годовой бухгалтерской отчетности за отчетный год;</w:t>
      </w:r>
    </w:p>
    <w:p w:rsidR="006C6164" w:rsidRDefault="006C6164" w:rsidP="006C6164">
      <w:pPr>
        <w:pStyle w:val="ConsPlusNormal"/>
        <w:widowControl/>
        <w:ind w:firstLine="540"/>
        <w:jc w:val="both"/>
      </w:pPr>
      <w:r>
        <w:t>&lt;3&gt; - не позднее 25 дней со дня сдачи годового бухгалтерского баланса в налоговые органы для публикации на сайте в сети Интернет в министерство конкурентной политики и тарифов Калужской области в электронном виде предоставляется вся подлежащая раскрытию информация;</w:t>
      </w:r>
    </w:p>
    <w:p w:rsidR="006C6164" w:rsidRDefault="006C6164" w:rsidP="006C6164">
      <w:pPr>
        <w:pStyle w:val="ConsPlusNormal"/>
        <w:widowControl/>
        <w:ind w:firstLine="540"/>
        <w:jc w:val="both"/>
      </w:pPr>
      <w:r>
        <w:t>&lt;4&gt; - заполняется организацией в соответствии с инвестиционной программой.</w:t>
      </w:r>
    </w:p>
    <w:p w:rsidR="006C6164" w:rsidRDefault="006C6164" w:rsidP="006C6164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4320"/>
      </w:tblGrid>
      <w:tr w:rsidR="006C6164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Наименование организации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</w:tr>
      <w:tr w:rsidR="006C6164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ИНН                    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</w:tr>
      <w:tr w:rsidR="006C6164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КПП                    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</w:tr>
      <w:tr w:rsidR="006C6164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Местонахождение (адрес)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</w:tr>
    </w:tbl>
    <w:p w:rsidR="006C6164" w:rsidRDefault="006C6164" w:rsidP="006C6164">
      <w:pPr>
        <w:pStyle w:val="ConsPlusNormal"/>
        <w:widowControl/>
        <w:ind w:firstLine="0"/>
      </w:pPr>
    </w:p>
    <w:p w:rsidR="006C6164" w:rsidRDefault="006C6164" w:rsidP="006C6164">
      <w:pPr>
        <w:pStyle w:val="ConsPlusNormal"/>
        <w:widowControl/>
        <w:ind w:firstLine="0"/>
        <w:jc w:val="center"/>
      </w:pPr>
      <w:r>
        <w:t>д) показатели эффективности реализации инвестиционной</w:t>
      </w:r>
    </w:p>
    <w:p w:rsidR="006C6164" w:rsidRDefault="006C6164" w:rsidP="006C6164">
      <w:pPr>
        <w:pStyle w:val="ConsPlusNormal"/>
        <w:widowControl/>
        <w:ind w:firstLine="0"/>
        <w:jc w:val="center"/>
      </w:pPr>
      <w:r>
        <w:t xml:space="preserve">программы </w:t>
      </w:r>
      <w:hyperlink r:id="rId9" w:history="1">
        <w:r>
          <w:rPr>
            <w:color w:val="0000FF"/>
          </w:rPr>
          <w:t>&lt;1&gt;</w:t>
        </w:r>
      </w:hyperlink>
    </w:p>
    <w:p w:rsidR="006C6164" w:rsidRDefault="006C6164" w:rsidP="006C6164">
      <w:pPr>
        <w:pStyle w:val="ConsPlusNormal"/>
        <w:widowControl/>
        <w:ind w:firstLine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0"/>
        <w:gridCol w:w="1620"/>
        <w:gridCol w:w="1620"/>
        <w:gridCol w:w="1620"/>
      </w:tblGrid>
      <w:tr w:rsidR="006C6164" w:rsidTr="00EC16AC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Наименование показателей &lt;2&gt;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Значения  </w:t>
            </w:r>
            <w:r>
              <w:br/>
              <w:t>показателей</w:t>
            </w:r>
            <w:r>
              <w:br/>
              <w:t xml:space="preserve">на     </w:t>
            </w:r>
            <w:r>
              <w:br/>
              <w:t xml:space="preserve">предыдущий </w:t>
            </w:r>
            <w:r>
              <w:br/>
              <w:t xml:space="preserve">отчетный  </w:t>
            </w:r>
            <w:r>
              <w:br/>
              <w:t xml:space="preserve">период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Значения  </w:t>
            </w:r>
            <w:r>
              <w:br/>
              <w:t>показателей</w:t>
            </w:r>
            <w:r>
              <w:br/>
              <w:t xml:space="preserve">на текущий </w:t>
            </w:r>
            <w:r>
              <w:br/>
              <w:t xml:space="preserve">отчетный  </w:t>
            </w:r>
            <w:r>
              <w:br/>
              <w:t xml:space="preserve">период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Ожидаемые </w:t>
            </w:r>
            <w:r>
              <w:br/>
              <w:t xml:space="preserve">значения  </w:t>
            </w:r>
            <w:r>
              <w:br/>
              <w:t xml:space="preserve">после   </w:t>
            </w:r>
            <w:r>
              <w:br/>
              <w:t xml:space="preserve">реализации </w:t>
            </w:r>
            <w:r>
              <w:br/>
              <w:t>мероприятия</w:t>
            </w:r>
          </w:p>
        </w:tc>
      </w:tr>
      <w:tr w:rsidR="006C6164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Наименование мероприятия &lt;3&gt;                       </w:t>
            </w:r>
          </w:p>
        </w:tc>
      </w:tr>
      <w:tr w:rsidR="006C6164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Срок окупаемости, лет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</w:tr>
      <w:tr w:rsidR="006C6164" w:rsidTr="00EC16A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Продолжительность (бесперебойность)  </w:t>
            </w:r>
            <w:r>
              <w:br/>
              <w:t>поставки товаров и услуг (час</w:t>
            </w:r>
            <w:proofErr w:type="gramStart"/>
            <w:r>
              <w:t>.</w:t>
            </w:r>
            <w:proofErr w:type="gramEnd"/>
            <w:r>
              <w:t>/</w:t>
            </w:r>
            <w:proofErr w:type="gramStart"/>
            <w:r>
              <w:t>д</w:t>
            </w:r>
            <w:proofErr w:type="gramEnd"/>
            <w:r>
              <w:t xml:space="preserve">ень)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</w:tr>
      <w:tr w:rsidR="006C6164" w:rsidTr="00EC16A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Коэффициент защищенности объектов от </w:t>
            </w:r>
            <w:r>
              <w:br/>
              <w:t>пожаров (час</w:t>
            </w:r>
            <w:proofErr w:type="gramStart"/>
            <w:r>
              <w:t>.</w:t>
            </w:r>
            <w:proofErr w:type="gramEnd"/>
            <w:r>
              <w:t>/</w:t>
            </w:r>
            <w:proofErr w:type="gramStart"/>
            <w:r>
              <w:t>д</w:t>
            </w:r>
            <w:proofErr w:type="gramEnd"/>
            <w:r>
              <w:t xml:space="preserve">ень)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</w:tr>
      <w:tr w:rsidR="006C6164" w:rsidTr="00EC16A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Суммарная продолжительность пожаров  </w:t>
            </w:r>
            <w:r>
              <w:br/>
              <w:t xml:space="preserve">на объектах для утилизации           </w:t>
            </w:r>
            <w:r>
              <w:br/>
              <w:t xml:space="preserve">(захоронения) ТБО (часов)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</w:tr>
      <w:tr w:rsidR="006C6164" w:rsidTr="00EC16A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Коэффициент </w:t>
            </w:r>
            <w:proofErr w:type="spellStart"/>
            <w:r>
              <w:t>пожароустойчивости</w:t>
            </w:r>
            <w:proofErr w:type="spellEnd"/>
            <w:r>
              <w:t xml:space="preserve">       </w:t>
            </w:r>
            <w:r>
              <w:br/>
              <w:t xml:space="preserve">объектов от пожаров (ед.)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</w:tr>
      <w:tr w:rsidR="006C6164" w:rsidTr="00EC16A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lastRenderedPageBreak/>
              <w:t xml:space="preserve">Суммарная площадь объектов,          </w:t>
            </w:r>
            <w:r>
              <w:br/>
              <w:t xml:space="preserve">подверженных пожарам (кв. м)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</w:tr>
      <w:tr w:rsidR="006C6164" w:rsidTr="00EC16A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Площадь объектов для утилизации      </w:t>
            </w:r>
            <w:r>
              <w:br/>
              <w:t xml:space="preserve">(захоронения) ТБО (кв. м)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</w:tr>
      <w:tr w:rsidR="006C6164" w:rsidTr="00EC16A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Наличие контроля качества товаров и  </w:t>
            </w:r>
            <w:r>
              <w:br/>
              <w:t>услуг</w:t>
            </w:r>
            <w:proofErr w:type="gramStart"/>
            <w:r>
              <w:t xml:space="preserve"> (%)                            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</w:tr>
      <w:tr w:rsidR="006C6164" w:rsidTr="00EC16A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>Соответствие качества товаров и услуг</w:t>
            </w:r>
            <w:r>
              <w:br/>
              <w:t>установленным требованиям</w:t>
            </w:r>
            <w:proofErr w:type="gramStart"/>
            <w:r>
              <w:t xml:space="preserve"> (%)        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</w:tr>
      <w:tr w:rsidR="006C6164" w:rsidTr="00EC16A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>Количество анализов проб атмосферного</w:t>
            </w:r>
            <w:r>
              <w:br/>
              <w:t xml:space="preserve">воздуха, соответствующее предельно   </w:t>
            </w:r>
            <w:r>
              <w:br/>
              <w:t xml:space="preserve">допустимым концентрациям (ед.)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</w:tr>
      <w:tr w:rsidR="006C6164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Удельное потребление (куб. м/чел.)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</w:tr>
      <w:tr w:rsidR="006C6164" w:rsidTr="00EC16A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Объем от населения </w:t>
            </w:r>
            <w:proofErr w:type="gramStart"/>
            <w:r>
              <w:t>утилизированных</w:t>
            </w:r>
            <w:proofErr w:type="gramEnd"/>
            <w:r>
              <w:t xml:space="preserve">   </w:t>
            </w:r>
            <w:r>
              <w:br/>
              <w:t xml:space="preserve">(захороненных) ТБО (тыс. куб. м)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</w:tr>
      <w:tr w:rsidR="006C6164" w:rsidTr="00EC16A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>Расход электроэнергии на утилизацию 1</w:t>
            </w:r>
            <w:r>
              <w:br/>
              <w:t xml:space="preserve">куб. м ТБО, 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/куб. м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</w:tr>
      <w:tr w:rsidR="006C6164" w:rsidTr="00EC16A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Расход топлива на утилизацию         </w:t>
            </w:r>
            <w:r>
              <w:br/>
              <w:t xml:space="preserve">(захоронение) </w:t>
            </w:r>
            <w:smartTag w:uri="urn:schemas-microsoft-com:office:smarttags" w:element="metricconverter">
              <w:smartTagPr>
                <w:attr w:name="ProductID" w:val="1 куб. м"/>
              </w:smartTagPr>
              <w:r>
                <w:t>1 куб. м</w:t>
              </w:r>
            </w:smartTag>
            <w:r>
              <w:t xml:space="preserve"> ТБО,          </w:t>
            </w:r>
            <w:r>
              <w:br/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/куб. м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</w:tr>
      <w:tr w:rsidR="006C6164" w:rsidTr="00EC16A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Производительность труда на 1        </w:t>
            </w:r>
            <w:r>
              <w:br/>
              <w:t xml:space="preserve">человека, тыс. руб./чел.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</w:tr>
      <w:tr w:rsidR="006C6164" w:rsidTr="00EC16A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Другие показатели, предусмотренные   </w:t>
            </w:r>
            <w:r>
              <w:br/>
              <w:t xml:space="preserve">инвестиционной программой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</w:tr>
    </w:tbl>
    <w:p w:rsidR="006C6164" w:rsidRDefault="006C6164" w:rsidP="006C6164">
      <w:pPr>
        <w:pStyle w:val="ConsPlusNormal"/>
        <w:widowControl/>
        <w:ind w:firstLine="0"/>
      </w:pPr>
    </w:p>
    <w:p w:rsidR="006C6164" w:rsidRDefault="006C6164" w:rsidP="006C6164">
      <w:pPr>
        <w:pStyle w:val="ConsPlusNonformat"/>
        <w:widowControl/>
        <w:ind w:firstLine="540"/>
        <w:jc w:val="both"/>
      </w:pPr>
      <w:r>
        <w:t>--------------------------------</w:t>
      </w:r>
    </w:p>
    <w:p w:rsidR="006C6164" w:rsidRDefault="006C6164" w:rsidP="006C6164">
      <w:pPr>
        <w:pStyle w:val="ConsPlusNormal"/>
        <w:widowControl/>
        <w:ind w:firstLine="540"/>
        <w:jc w:val="both"/>
      </w:pPr>
      <w:r>
        <w:t xml:space="preserve">&lt;1&gt; - перечень показателей приведен с учетом </w:t>
      </w:r>
      <w:hyperlink r:id="rId10" w:history="1">
        <w:r>
          <w:rPr>
            <w:color w:val="0000FF"/>
          </w:rPr>
          <w:t>приложения N 5</w:t>
        </w:r>
      </w:hyperlink>
      <w:r>
        <w:t xml:space="preserve"> к Методике проведения мониторинга выполнения производственных и инвестиционных программ, утвержденной приказом Министерства регионального развития РФ от 14.04.2008 N 48;</w:t>
      </w:r>
    </w:p>
    <w:p w:rsidR="006C6164" w:rsidRDefault="006C6164" w:rsidP="006C6164">
      <w:pPr>
        <w:pStyle w:val="ConsPlusNormal"/>
        <w:widowControl/>
        <w:ind w:firstLine="540"/>
        <w:jc w:val="both"/>
      </w:pPr>
      <w:r>
        <w:t>&lt;2&gt; - данный перечень показателей не является исчерпывающим и может быть дополнен показателями, определенными в инвестиционной программе организации коммунального комплекса;</w:t>
      </w:r>
    </w:p>
    <w:p w:rsidR="006C6164" w:rsidRDefault="006C6164" w:rsidP="006C6164">
      <w:pPr>
        <w:pStyle w:val="ConsPlusNormal"/>
        <w:widowControl/>
        <w:ind w:firstLine="540"/>
        <w:jc w:val="both"/>
      </w:pPr>
      <w:r>
        <w:t>&lt;3&gt; - показатели заполняются в разбивке по мероприятиям, наименование мероприятий и их перечень вводятся организацией в соответствии с инвестиционной программой.</w:t>
      </w:r>
    </w:p>
    <w:p w:rsidR="006C6164" w:rsidRDefault="006C6164" w:rsidP="006C6164">
      <w:pPr>
        <w:pStyle w:val="ConsPlusNormal"/>
        <w:widowControl/>
        <w:ind w:firstLine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4320"/>
      </w:tblGrid>
      <w:tr w:rsidR="006C6164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Наименование организации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</w:tr>
      <w:tr w:rsidR="006C6164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ИНН                    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</w:tr>
      <w:tr w:rsidR="006C6164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КПП                    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</w:tr>
      <w:tr w:rsidR="006C6164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Местонахождение (адрес)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</w:tr>
    </w:tbl>
    <w:p w:rsidR="006C6164" w:rsidRDefault="006C6164" w:rsidP="006C6164">
      <w:pPr>
        <w:pStyle w:val="ConsPlusNormal"/>
        <w:widowControl/>
        <w:ind w:firstLine="0"/>
      </w:pPr>
    </w:p>
    <w:p w:rsidR="006C6164" w:rsidRDefault="006C6164" w:rsidP="006C6164">
      <w:pPr>
        <w:pStyle w:val="ConsPlusNormal"/>
        <w:widowControl/>
        <w:ind w:firstLine="0"/>
        <w:jc w:val="center"/>
      </w:pPr>
      <w:r>
        <w:t>е) использование инвестиционных средств за ________ год</w:t>
      </w:r>
    </w:p>
    <w:p w:rsidR="006C6164" w:rsidRDefault="006C6164" w:rsidP="006C6164">
      <w:pPr>
        <w:pStyle w:val="ConsPlusNormal"/>
        <w:widowControl/>
        <w:ind w:firstLine="0"/>
      </w:pPr>
    </w:p>
    <w:p w:rsidR="006C6164" w:rsidRDefault="006C6164" w:rsidP="006C6164">
      <w:pPr>
        <w:pStyle w:val="ConsPlusNormal"/>
        <w:widowControl/>
        <w:ind w:firstLine="0"/>
        <w:jc w:val="right"/>
      </w:pPr>
      <w:r>
        <w:t>тыс. руб.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1485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2025"/>
      </w:tblGrid>
      <w:tr w:rsidR="006C6164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>Наименование</w:t>
            </w:r>
            <w:r>
              <w:br/>
              <w:t xml:space="preserve">мероприятия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>Утверждено</w:t>
            </w:r>
            <w:r>
              <w:br/>
              <w:t>на ___ год</w:t>
            </w:r>
          </w:p>
        </w:tc>
        <w:tc>
          <w:tcPr>
            <w:tcW w:w="81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В течение ________________ года            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Источник   </w:t>
            </w:r>
            <w:r>
              <w:br/>
              <w:t>финансирования</w:t>
            </w:r>
          </w:p>
        </w:tc>
      </w:tr>
      <w:tr w:rsidR="006C6164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4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Профинансировано       </w:t>
            </w:r>
          </w:p>
        </w:tc>
        <w:tc>
          <w:tcPr>
            <w:tcW w:w="4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Освоено фактически  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</w:tr>
      <w:tr w:rsidR="006C6164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>Всего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>1 кв.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>2 кв.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>3 кв.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>4 кв.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>Всего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>1 кв.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>2 кв.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>3 кв.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>4 кв.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</w:tr>
      <w:tr w:rsidR="006C6164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Всего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</w:tr>
      <w:tr w:rsidR="006C6164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1.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</w:tr>
      <w:tr w:rsidR="006C6164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2.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</w:tr>
      <w:tr w:rsidR="006C6164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и т.д.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</w:tr>
    </w:tbl>
    <w:p w:rsidR="006C6164" w:rsidRDefault="006C6164" w:rsidP="006C6164">
      <w:pPr>
        <w:pStyle w:val="ConsPlusNormal"/>
        <w:widowControl/>
        <w:ind w:firstLine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4320"/>
      </w:tblGrid>
      <w:tr w:rsidR="006C6164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Наименование организации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</w:tr>
      <w:tr w:rsidR="006C6164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ИНН                    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</w:tr>
      <w:tr w:rsidR="006C6164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КПП                    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</w:tr>
      <w:tr w:rsidR="006C6164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Местонахождение (адрес)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</w:tr>
      <w:tr w:rsidR="006C6164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  <w:r>
              <w:t xml:space="preserve">Год                    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164" w:rsidRDefault="006C6164" w:rsidP="00EC16AC">
            <w:pPr>
              <w:pStyle w:val="ConsPlusNormal"/>
              <w:widowControl/>
              <w:ind w:firstLine="0"/>
            </w:pPr>
          </w:p>
        </w:tc>
      </w:tr>
    </w:tbl>
    <w:p w:rsidR="003478B9" w:rsidRDefault="003478B9">
      <w:bookmarkStart w:id="0" w:name="_GoBack"/>
      <w:bookmarkEnd w:id="0"/>
    </w:p>
    <w:sectPr w:rsidR="00347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64"/>
    <w:rsid w:val="003478B9"/>
    <w:rsid w:val="006C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C6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61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C6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61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BEF8171699B97D02D4FCC3ECEA93950905F566E62F27C3BAF35EC9BC939B141B033192322FA008DC20A4W2n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BEF8171699B97D02D4FCC3ECEA93950905F566E62F27C3BAF35EC9BC939B141B033192322FA008DC20A0W2n7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BEF8171699B97D02D4FCC3ECEA93950905F566E62F27C3BAF35EC9BC939B141B033192322FA008DC20A0W2nE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5BEF8171699B97D02D4FCC3ECEA93950905F566E62F27C3BAF35EC9BC939B141B033192322FA008DC20A0W2n0G" TargetMode="External"/><Relationship Id="rId10" Type="http://schemas.openxmlformats.org/officeDocument/2006/relationships/hyperlink" Target="consultantplus://offline/ref=45BEF8171699B97D02D4E2CEFA86CD9B0906AB62E122779EE8F50996EC95CE545B0564D17626A1W0n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BEF8171699B97D02D4FCC3ECEA93950905F566E62F27C3BAF35EC9BC939B141B033192322FA008DC20A5W2n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Оксана Сергеевна</dc:creator>
  <cp:lastModifiedBy>Мельникова Оксана Сергеевна</cp:lastModifiedBy>
  <cp:revision>1</cp:revision>
  <dcterms:created xsi:type="dcterms:W3CDTF">2013-07-11T06:26:00Z</dcterms:created>
  <dcterms:modified xsi:type="dcterms:W3CDTF">2013-07-11T06:26:00Z</dcterms:modified>
</cp:coreProperties>
</file>