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732"/>
        <w:gridCol w:w="621"/>
        <w:gridCol w:w="680"/>
        <w:gridCol w:w="625"/>
        <w:gridCol w:w="559"/>
        <w:gridCol w:w="465"/>
        <w:gridCol w:w="465"/>
        <w:gridCol w:w="505"/>
        <w:gridCol w:w="502"/>
        <w:gridCol w:w="491"/>
        <w:gridCol w:w="489"/>
        <w:gridCol w:w="487"/>
        <w:gridCol w:w="485"/>
        <w:gridCol w:w="484"/>
        <w:gridCol w:w="482"/>
        <w:gridCol w:w="384"/>
        <w:gridCol w:w="447"/>
      </w:tblGrid>
      <w:tr w:rsidR="007D7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7D720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7D7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7D7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80775A" w:rsidRDefault="007D72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80775A" w:rsidRDefault="007D72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80775A" w:rsidRDefault="007D72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7D7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80775A" w:rsidRDefault="007D72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7D7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80775A" w:rsidRDefault="008077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80775A" w:rsidRDefault="008077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8077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775A" w:rsidRDefault="008077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7" w:type="dxa"/>
            <w:gridSpan w:val="10"/>
            <w:shd w:val="clear" w:color="FFFFFF" w:fill="auto"/>
            <w:vAlign w:val="center"/>
          </w:tcPr>
          <w:p w:rsidR="0080775A" w:rsidRDefault="007D7201" w:rsidP="007D72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17.12.2018 № 510-РК «Об установлении долгосрочных тарифов на питьевую воду (питьевое водоснабжение), на техническую воду и водоотведение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 2019 - 2023 годы» 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775A" w:rsidRDefault="008077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775A" w:rsidRDefault="008077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</w:tcPr>
          <w:p w:rsidR="0080775A" w:rsidRDefault="007D72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</w:t>
            </w:r>
            <w:r>
              <w:rPr>
                <w:rFonts w:ascii="Times New Roman" w:hAnsi="Times New Roman"/>
                <w:sz w:val="26"/>
                <w:szCs w:val="26"/>
              </w:rPr>
              <w:t>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</w:t>
            </w:r>
            <w:r>
              <w:rPr>
                <w:rFonts w:ascii="Times New Roman" w:hAnsi="Times New Roman"/>
                <w:sz w:val="26"/>
                <w:szCs w:val="26"/>
              </w:rPr>
              <w:t>017 № 54, от 15.04.2017 № 449, от 05.05.2017 № 534, от 25.08.2017 № 997, от 17.11.2017 № 1390, от 08.10.2018 № 1206, от 19.10.2018 № 1246, от 24.01.2019 № 30, от 24.01.2019 № 31, от 04.07.2019 № 855, от 30.11.2019 № 1549), приказом Федеральной службы по та</w:t>
            </w:r>
            <w:r>
              <w:rPr>
                <w:rFonts w:ascii="Times New Roman" w:hAnsi="Times New Roman"/>
                <w:sz w:val="26"/>
                <w:szCs w:val="26"/>
              </w:rPr>
              <w:t>рифам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</w:t>
            </w:r>
            <w:r>
              <w:rPr>
                <w:rFonts w:ascii="Times New Roman" w:hAnsi="Times New Roman"/>
                <w:sz w:val="26"/>
                <w:szCs w:val="26"/>
              </w:rPr>
              <w:t>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ред. постановлений Правительства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</w:t>
            </w:r>
            <w:r>
              <w:rPr>
                <w:rFonts w:ascii="Times New Roman" w:hAnsi="Times New Roman"/>
                <w:sz w:val="26"/>
                <w:szCs w:val="26"/>
              </w:rPr>
              <w:t>02.2014 № 128, от 26.03.2014 № 196, от 01.02.2016 № 62, от 18.05.2016 № 294, от 16.11.2016 № 617, от 18.01.2017 № 26,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29.03.2017 № 173, от 26.07.2017 № 425, от 31.10.2017 № 623, от 06.12.2017 № 714, от 18.12.2017 № 748, от 05.02.2018 № 81, от 30.08.2018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17.12.2018 № 505-РК «Об утверждении производственной про</w:t>
            </w:r>
            <w:r>
              <w:rPr>
                <w:rFonts w:ascii="Times New Roman" w:hAnsi="Times New Roman"/>
                <w:sz w:val="26"/>
                <w:szCs w:val="26"/>
              </w:rPr>
              <w:t>граммы в сфере водоснабжения и (или) водоотведения для государственного предприятия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2019 - 2023 годы» от 19.12.2016 № 255-РК «Об утверждении производственной программы в сфере водоснабжения и (или) водоотведения дл</w:t>
            </w:r>
            <w:r>
              <w:rPr>
                <w:rFonts w:ascii="Times New Roman" w:hAnsi="Times New Roman"/>
                <w:sz w:val="26"/>
                <w:szCs w:val="26"/>
              </w:rPr>
              <w:t>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территории муниципального образования городское поселение «Город Кондрово» на 2017 - 2019 годы» (в ред. приказов министерства конкурентной политики Калужской области от 18.12.2017 № 4</w:t>
            </w:r>
            <w:r>
              <w:rPr>
                <w:rFonts w:ascii="Times New Roman" w:hAnsi="Times New Roman"/>
                <w:sz w:val="26"/>
                <w:szCs w:val="26"/>
              </w:rPr>
              <w:t>48-РК, от 17.12.2018 № 503-РК) 18.12.2017 № 436-РК «Об утверждении производственной программы 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водоснабжения и (или) 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территории муниципального образования город</w:t>
            </w:r>
            <w:r>
              <w:rPr>
                <w:rFonts w:ascii="Times New Roman" w:hAnsi="Times New Roman"/>
                <w:sz w:val="26"/>
                <w:szCs w:val="26"/>
              </w:rPr>
              <w:t>ское поселение «Город Киров» на 2018 - 2020 годы» (в ред. приказа министерства конкурентной политики Калужской области от 17.12.2018 № 504-РК)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(в ред. приказа министерства конкурентной политики от №), на основании протокола заседания комиссии по тарифам и 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ПРИКАЗЫВАЮ:</w:t>
            </w:r>
            <w:proofErr w:type="gramEnd"/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  <w:vAlign w:val="bottom"/>
          </w:tcPr>
          <w:p w:rsidR="0080775A" w:rsidRDefault="007D7201" w:rsidP="007D72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области от 17.12.2018 № 510-РК «Об установлении долгосрочных тарифов на питьевую воду (питьевое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водоснабжение), на техническую воду и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2019 - 2023 годы» </w:t>
            </w:r>
            <w:r>
              <w:rPr>
                <w:rFonts w:ascii="Times New Roman" w:hAnsi="Times New Roman"/>
                <w:sz w:val="26"/>
                <w:szCs w:val="26"/>
              </w:rPr>
              <w:t>(в ред. приказа министерства конкурентной политики Калужской области от 17.12.2018 № 507-РК) (далее - приказ), изложив  приложения   № 1, № 2, № 3, № 4, № 5, № 6 к приказу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новой редакции согласно приложению к настоящему пр</w:t>
            </w:r>
            <w:r>
              <w:rPr>
                <w:rFonts w:ascii="Times New Roman" w:hAnsi="Times New Roman"/>
                <w:sz w:val="26"/>
                <w:szCs w:val="26"/>
              </w:rPr>
              <w:t>иказу.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</w:tcPr>
          <w:p w:rsidR="0080775A" w:rsidRDefault="007D72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775A" w:rsidRDefault="008077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775A" w:rsidRDefault="008077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775A" w:rsidRDefault="008077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:rsidR="0080775A" w:rsidRDefault="007D72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0775A" w:rsidRDefault="007D7201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31"/>
        <w:gridCol w:w="290"/>
        <w:gridCol w:w="247"/>
        <w:gridCol w:w="151"/>
        <w:gridCol w:w="12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11"/>
        <w:gridCol w:w="5"/>
      </w:tblGrid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775A" w:rsidRDefault="008077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775A" w:rsidRDefault="007D7201" w:rsidP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510-РК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80775A" w:rsidRDefault="007D72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городского поселения «город Таруса» на  2019-2023 годы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929" w:type="dxa"/>
            <w:gridSpan w:val="14"/>
            <w:shd w:val="clear" w:color="FFFFFF" w:fill="auto"/>
            <w:vAlign w:val="bottom"/>
          </w:tcPr>
          <w:p w:rsidR="0080775A" w:rsidRDefault="008077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товара </w:t>
            </w:r>
            <w:r>
              <w:rPr>
                <w:rFonts w:ascii="Times New Roman" w:hAnsi="Times New Roman"/>
                <w:sz w:val="20"/>
                <w:szCs w:val="20"/>
              </w:rPr>
              <w:t>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28,01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0"/>
                <w:szCs w:val="20"/>
              </w:rPr>
              <w:t>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33,61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80775A" w:rsidRDefault="007D72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80775A" w:rsidRDefault="007D7201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31"/>
        <w:gridCol w:w="290"/>
        <w:gridCol w:w="247"/>
        <w:gridCol w:w="151"/>
        <w:gridCol w:w="12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11"/>
        <w:gridCol w:w="5"/>
      </w:tblGrid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2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510-РК,  511-РК, 512-РК, 513-РК, 514-РК, 19.12.2016 № 339-РК, 19.12.2016 № 340-РК, 18.12.2017 № 488-РК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80775A" w:rsidRDefault="007D72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водоснабжение),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городского поселения «город Людиново» на  2019-2023 годы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929" w:type="dxa"/>
            <w:gridSpan w:val="14"/>
            <w:shd w:val="clear" w:color="FFFFFF" w:fill="auto"/>
            <w:vAlign w:val="bottom"/>
          </w:tcPr>
          <w:p w:rsidR="0080775A" w:rsidRDefault="008077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25,87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31,04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20,92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80775A" w:rsidRDefault="007D72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80775A" w:rsidRDefault="007D7201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31"/>
        <w:gridCol w:w="290"/>
        <w:gridCol w:w="247"/>
        <w:gridCol w:w="151"/>
        <w:gridCol w:w="12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11"/>
        <w:gridCol w:w="5"/>
      </w:tblGrid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3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510-РК,  </w:t>
            </w:r>
            <w:r>
              <w:rPr>
                <w:rFonts w:ascii="Times New Roman" w:hAnsi="Times New Roman"/>
                <w:sz w:val="26"/>
                <w:szCs w:val="26"/>
              </w:rPr>
              <w:t>511-РК, 512-РК, 513-РК, 514-РК, 19.12.2016 № 339-РК, 19.12.2016 № 340-РК, 18.12.2017 № 488-РК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80775A" w:rsidRDefault="007D72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территории городского поселения «город Боровск» на  2019-2023 годы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929" w:type="dxa"/>
            <w:gridSpan w:val="14"/>
            <w:shd w:val="clear" w:color="FFFFFF" w:fill="auto"/>
            <w:vAlign w:val="bottom"/>
          </w:tcPr>
          <w:p w:rsidR="0080775A" w:rsidRDefault="008077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26,32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31,58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80775A" w:rsidRDefault="007D72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80775A" w:rsidRDefault="007D7201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31"/>
        <w:gridCol w:w="290"/>
        <w:gridCol w:w="247"/>
        <w:gridCol w:w="151"/>
        <w:gridCol w:w="12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11"/>
        <w:gridCol w:w="5"/>
      </w:tblGrid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4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510-РК,  511-РК, 512-РК, 513-РК, 514-РК, 19.12.2016 № 339-РК, 19.12.2016 № 340-РК, 18.12.2017 № 488-РК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80775A" w:rsidRDefault="007D72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техническую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воду,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за исключением  городского поселения «город Боровск», городского поселения «город Людиново», городского поселения «город Таруса», городского поселения «город Кондро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во» на  2019-2023 годы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929" w:type="dxa"/>
            <w:gridSpan w:val="14"/>
            <w:shd w:val="clear" w:color="FFFFFF" w:fill="auto"/>
            <w:vAlign w:val="bottom"/>
          </w:tcPr>
          <w:p w:rsidR="0080775A" w:rsidRDefault="008077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26,52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24,77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18,07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29,72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21,68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80775A" w:rsidRDefault="007D72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&lt;*&gt;Выделяется в целях реализации пункта 6 статьи 168 Налогового кодекса Российской Федерации </w:t>
            </w:r>
            <w:r>
              <w:rPr>
                <w:rFonts w:ascii="Times New Roman" w:hAnsi="Times New Roman"/>
                <w:sz w:val="26"/>
                <w:szCs w:val="26"/>
              </w:rPr>
              <w:t>(часть вторая).</w:t>
            </w:r>
          </w:p>
        </w:tc>
      </w:tr>
    </w:tbl>
    <w:p w:rsidR="0080775A" w:rsidRDefault="007D7201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31"/>
        <w:gridCol w:w="290"/>
        <w:gridCol w:w="247"/>
        <w:gridCol w:w="151"/>
        <w:gridCol w:w="12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11"/>
        <w:gridCol w:w="5"/>
      </w:tblGrid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5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510-РК,  511-РК, 512-РК, 513-РК, 514-РК, 19.12.2016 № 339-РК, 19.12.2016 № 340-РК, 18.12.2017 № </w:t>
            </w:r>
            <w:r>
              <w:rPr>
                <w:rFonts w:ascii="Times New Roman" w:hAnsi="Times New Roman"/>
                <w:sz w:val="26"/>
                <w:szCs w:val="26"/>
              </w:rPr>
              <w:t>488-РК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80775A" w:rsidRDefault="007D72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городского поселения «Город Кондрово»  на  2019-2023 годы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929" w:type="dxa"/>
            <w:gridSpan w:val="14"/>
            <w:shd w:val="clear" w:color="FFFFFF" w:fill="auto"/>
            <w:vAlign w:val="bottom"/>
          </w:tcPr>
          <w:p w:rsidR="0080775A" w:rsidRDefault="008077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/>
                <w:sz w:val="20"/>
                <w:szCs w:val="20"/>
              </w:rPr>
              <w:t>действия тарифов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12,56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15,07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80775A" w:rsidRDefault="007D72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статьи 168 Налогового кодекса Российской Федерации (часть вторая).</w:t>
            </w:r>
          </w:p>
        </w:tc>
      </w:tr>
    </w:tbl>
    <w:p w:rsidR="0080775A" w:rsidRDefault="007D7201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31"/>
        <w:gridCol w:w="290"/>
        <w:gridCol w:w="247"/>
        <w:gridCol w:w="151"/>
        <w:gridCol w:w="12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11"/>
        <w:gridCol w:w="5"/>
      </w:tblGrid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6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775A" w:rsidRDefault="007D72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510-РК,  511-РК, 512-РК, 513-РК, 514-РК, </w:t>
            </w:r>
            <w:r>
              <w:rPr>
                <w:rFonts w:ascii="Times New Roman" w:hAnsi="Times New Roman"/>
                <w:sz w:val="26"/>
                <w:szCs w:val="26"/>
              </w:rPr>
              <w:t>19.12.2016 № 339-РК, 19.12.2016 № 340-РК, 18.12.2017 № 488-РК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80775A" w:rsidRDefault="007D72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 территории сельского поселения «Село Заречье» муниципального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района «Ульяновский район»  на  2019-2023 годы</w:t>
            </w: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929" w:type="dxa"/>
            <w:gridSpan w:val="14"/>
            <w:shd w:val="clear" w:color="FFFFFF" w:fill="auto"/>
            <w:vAlign w:val="bottom"/>
          </w:tcPr>
          <w:p w:rsidR="0080775A" w:rsidRDefault="008077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Cs w:val="16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80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10,46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0"/>
                <w:szCs w:val="20"/>
              </w:rPr>
              <w:t>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775A" w:rsidRDefault="007D7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75A" w:rsidRDefault="007D7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0775A" w:rsidRDefault="0080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80775A" w:rsidRDefault="007D72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000000" w:rsidRDefault="007D7201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75A"/>
    <w:rsid w:val="007D7201"/>
    <w:rsid w:val="0080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2180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2</cp:revision>
  <dcterms:created xsi:type="dcterms:W3CDTF">2019-12-12T06:56:00Z</dcterms:created>
  <dcterms:modified xsi:type="dcterms:W3CDTF">2019-12-12T06:57:00Z</dcterms:modified>
</cp:coreProperties>
</file>