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63"/>
        <w:gridCol w:w="609"/>
        <w:gridCol w:w="353"/>
        <w:gridCol w:w="415"/>
        <w:gridCol w:w="803"/>
        <w:gridCol w:w="502"/>
        <w:gridCol w:w="575"/>
        <w:gridCol w:w="517"/>
        <w:gridCol w:w="531"/>
        <w:gridCol w:w="475"/>
        <w:gridCol w:w="525"/>
        <w:gridCol w:w="473"/>
        <w:gridCol w:w="523"/>
        <w:gridCol w:w="472"/>
        <w:gridCol w:w="522"/>
        <w:gridCol w:w="470"/>
        <w:gridCol w:w="520"/>
      </w:tblGrid>
      <w:tr w:rsidR="006437BB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58494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22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c>
          <w:tcPr>
            <w:tcW w:w="591" w:type="dxa"/>
            <w:shd w:val="clear" w:color="FFFFFF" w:fill="auto"/>
            <w:vAlign w:val="center"/>
          </w:tcPr>
          <w:p w:rsidR="006437BB" w:rsidRDefault="006437BB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3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56" w:type="dxa"/>
            <w:shd w:val="clear" w:color="FFFFFF" w:fill="auto"/>
            <w:vAlign w:val="center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6437BB">
            <w:pPr>
              <w:jc w:val="right"/>
            </w:pPr>
          </w:p>
        </w:tc>
      </w:tr>
      <w:tr w:rsidR="006437BB">
        <w:tc>
          <w:tcPr>
            <w:tcW w:w="6380" w:type="dxa"/>
            <w:gridSpan w:val="10"/>
            <w:shd w:val="clear" w:color="FFFFFF" w:fill="auto"/>
            <w:vAlign w:val="bottom"/>
          </w:tcPr>
          <w:p w:rsidR="006437BB" w:rsidRDefault="0035386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 на  тепловую энергию (мощность) для  муниципального унитарного предприятия «Дирекция единого заказчика на услуги жилищно-коммунального хозяйства» на 2019-2021 годы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6437BB">
            <w:pPr>
              <w:jc w:val="right"/>
            </w:pP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6437BB">
            <w:pPr>
              <w:jc w:val="right"/>
            </w:pPr>
          </w:p>
        </w:tc>
      </w:tr>
      <w:tr w:rsidR="006437BB">
        <w:tc>
          <w:tcPr>
            <w:tcW w:w="11368" w:type="dxa"/>
            <w:gridSpan w:val="18"/>
            <w:shd w:val="clear" w:color="FFFFFF" w:fill="auto"/>
          </w:tcPr>
          <w:p w:rsidR="006437BB" w:rsidRDefault="003538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Калужской области от 19.12.2018 </w:t>
            </w:r>
            <w:r w:rsidRPr="0035386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6437BB">
        <w:trPr>
          <w:trHeight w:val="9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437BB" w:rsidRDefault="00353869" w:rsidP="00E571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муниципального унитарного предприятия «Дирекция единого заказчика на услуги жилищно-коммунального хозяйства»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</w:t>
            </w:r>
            <w:r w:rsidR="00E5717F">
              <w:rPr>
                <w:rFonts w:ascii="Times New Roman" w:hAnsi="Times New Roman"/>
                <w:sz w:val="26"/>
                <w:szCs w:val="26"/>
              </w:rPr>
              <w:t xml:space="preserve">ость) согласно приложениям № 1 - </w:t>
            </w:r>
            <w:r>
              <w:rPr>
                <w:rFonts w:ascii="Times New Roman" w:hAnsi="Times New Roman"/>
                <w:sz w:val="26"/>
                <w:szCs w:val="26"/>
              </w:rPr>
              <w:t>№ 3  к настоящему приказу.</w:t>
            </w:r>
          </w:p>
        </w:tc>
      </w:tr>
      <w:tr w:rsidR="006437BB">
        <w:tc>
          <w:tcPr>
            <w:tcW w:w="11368" w:type="dxa"/>
            <w:gridSpan w:val="18"/>
            <w:shd w:val="clear" w:color="FFFFFF" w:fill="auto"/>
          </w:tcPr>
          <w:p w:rsidR="006437BB" w:rsidRDefault="003538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2021 года с календарной разбивкой.</w:t>
            </w:r>
          </w:p>
        </w:tc>
      </w:tr>
      <w:tr w:rsidR="006437BB">
        <w:tc>
          <w:tcPr>
            <w:tcW w:w="11368" w:type="dxa"/>
            <w:gridSpan w:val="18"/>
            <w:shd w:val="clear" w:color="FFFFFF" w:fill="auto"/>
          </w:tcPr>
          <w:p w:rsidR="006437BB" w:rsidRDefault="00353869" w:rsidP="0058494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2019-2021 годы долгосрочные параметры регулирования деятельности муниципального унитарного предприятия «Дирекция единого заказчика на услуги жилищно-коммунального хозяйства» для</w:t>
            </w:r>
            <w:r w:rsidR="005849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тепловую энергию (мощность) с </w:t>
            </w:r>
            <w:r w:rsidR="005849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тарифов согласно приложениям № 4</w:t>
            </w:r>
            <w:r w:rsidR="00E5717F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6  к настоящему приказу.</w:t>
            </w:r>
          </w:p>
        </w:tc>
      </w:tr>
      <w:tr w:rsidR="006437BB">
        <w:tc>
          <w:tcPr>
            <w:tcW w:w="11368" w:type="dxa"/>
            <w:gridSpan w:val="18"/>
            <w:shd w:val="clear" w:color="FFFFFF" w:fill="auto"/>
          </w:tcPr>
          <w:p w:rsidR="006437BB" w:rsidRDefault="003538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6437BB">
            <w:pPr>
              <w:jc w:val="right"/>
            </w:pP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6437BB">
            <w:pPr>
              <w:jc w:val="right"/>
            </w:pP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6437BB">
            <w:pPr>
              <w:jc w:val="right"/>
            </w:pPr>
          </w:p>
        </w:tc>
      </w:tr>
      <w:tr w:rsidR="006437BB">
        <w:trPr>
          <w:trHeight w:val="34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6437BB" w:rsidRDefault="0035386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437BB" w:rsidRDefault="003538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437BB"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437BB">
        <w:tc>
          <w:tcPr>
            <w:tcW w:w="591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</w:tr>
      <w:tr w:rsidR="006437B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437BB"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 w:rsidP="00E571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сельского поселения «Село Льва Толстого» и сельского поселения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Жилетово</w:t>
            </w:r>
            <w:proofErr w:type="spellEnd"/>
            <w:r w:rsidR="00E5717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6437B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1681,32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1708,50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1708,50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1756,35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1756,35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1809,99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2017,58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2050,20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2050,20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2107,62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2107,62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2171,99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437BB" w:rsidRDefault="00353869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6437BB" w:rsidRDefault="003538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437BB"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437BB">
        <w:tc>
          <w:tcPr>
            <w:tcW w:w="591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</w:tr>
      <w:tr w:rsidR="006437B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437BB">
        <w:trPr>
          <w:trHeight w:val="25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 w:rsidP="002B2AA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</w:t>
            </w:r>
            <w:r w:rsidR="002B2AAE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плоснабжения, расположенным на территории городского поселения «Город Кондрово»</w:t>
            </w:r>
          </w:p>
        </w:tc>
      </w:tr>
      <w:tr w:rsidR="006437B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1877,96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1909,17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1909,17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1962,51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1962,51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2022,14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2253,55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2291,00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2291,00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2355,01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2355,01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2426,57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437BB" w:rsidRDefault="00353869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6437BB" w:rsidRDefault="003538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37"/>
        <w:gridCol w:w="899"/>
        <w:gridCol w:w="431"/>
        <w:gridCol w:w="361"/>
        <w:gridCol w:w="568"/>
        <w:gridCol w:w="420"/>
        <w:gridCol w:w="531"/>
        <w:gridCol w:w="433"/>
        <w:gridCol w:w="447"/>
        <w:gridCol w:w="435"/>
        <w:gridCol w:w="445"/>
        <w:gridCol w:w="436"/>
        <w:gridCol w:w="443"/>
        <w:gridCol w:w="454"/>
        <w:gridCol w:w="452"/>
        <w:gridCol w:w="695"/>
        <w:gridCol w:w="761"/>
      </w:tblGrid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6437BB"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437BB">
        <w:tc>
          <w:tcPr>
            <w:tcW w:w="591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</w:tr>
      <w:tr w:rsidR="006437B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437BB" w:rsidTr="00F9348F">
        <w:trPr>
          <w:trHeight w:val="1099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 w:rsidP="00F934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</w:t>
            </w:r>
            <w:r w:rsidR="00F9348F">
              <w:rPr>
                <w:rFonts w:ascii="Times New Roman" w:hAnsi="Times New Roman"/>
                <w:sz w:val="20"/>
                <w:szCs w:val="20"/>
              </w:rPr>
              <w:t xml:space="preserve">территории Дзержинского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(кроме городского поселения «Город Кондрово», городского поселения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городского поселения «Поселок Полотняный завод», городского поселения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сельского поселения «Село Льва Толстого, сельского поселения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Жилетово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6437B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1991,97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2141,00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2141,00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2192,05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2192,05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2249,74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2390,36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2569,20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2569,20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2630,46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2630,46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2699,69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437BB" w:rsidRDefault="00353869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6437BB" w:rsidRDefault="003538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59"/>
        <w:gridCol w:w="358"/>
        <w:gridCol w:w="404"/>
        <w:gridCol w:w="717"/>
        <w:gridCol w:w="457"/>
        <w:gridCol w:w="552"/>
        <w:gridCol w:w="496"/>
        <w:gridCol w:w="546"/>
        <w:gridCol w:w="491"/>
        <w:gridCol w:w="541"/>
        <w:gridCol w:w="487"/>
        <w:gridCol w:w="537"/>
        <w:gridCol w:w="484"/>
        <w:gridCol w:w="534"/>
        <w:gridCol w:w="481"/>
        <w:gridCol w:w="531"/>
      </w:tblGrid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6437BB"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6437BB">
        <w:tc>
          <w:tcPr>
            <w:tcW w:w="591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</w:tr>
      <w:tr w:rsidR="006437BB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6437BB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2F67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</w:tr>
      <w:tr w:rsidR="006437BB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</w:t>
            </w:r>
            <w:r w:rsidR="002F6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Pr="002F6792" w:rsidRDefault="00353869">
            <w:pPr>
              <w:wordWrap w:val="0"/>
              <w:jc w:val="center"/>
              <w:rPr>
                <w:szCs w:val="16"/>
              </w:rPr>
            </w:pPr>
            <w:r w:rsidRPr="002F6792">
              <w:rPr>
                <w:rFonts w:ascii="Times New Roman" w:hAnsi="Times New Roman"/>
                <w:szCs w:val="16"/>
              </w:rPr>
              <w:t>11 712,92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437BB" w:rsidRDefault="003538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59"/>
        <w:gridCol w:w="358"/>
        <w:gridCol w:w="404"/>
        <w:gridCol w:w="717"/>
        <w:gridCol w:w="457"/>
        <w:gridCol w:w="552"/>
        <w:gridCol w:w="496"/>
        <w:gridCol w:w="546"/>
        <w:gridCol w:w="491"/>
        <w:gridCol w:w="541"/>
        <w:gridCol w:w="487"/>
        <w:gridCol w:w="537"/>
        <w:gridCol w:w="484"/>
        <w:gridCol w:w="534"/>
        <w:gridCol w:w="481"/>
        <w:gridCol w:w="531"/>
      </w:tblGrid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6437BB"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6437BB">
        <w:tc>
          <w:tcPr>
            <w:tcW w:w="591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</w:tr>
      <w:tr w:rsidR="006437BB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6437BB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FD3F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</w:tr>
      <w:tr w:rsidR="006437BB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</w:t>
            </w:r>
            <w:r w:rsidR="00FD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Pr="00FD3F79" w:rsidRDefault="00353869">
            <w:pPr>
              <w:wordWrap w:val="0"/>
              <w:jc w:val="center"/>
              <w:rPr>
                <w:szCs w:val="16"/>
              </w:rPr>
            </w:pPr>
            <w:r w:rsidRPr="00FD3F79">
              <w:rPr>
                <w:rFonts w:ascii="Times New Roman" w:hAnsi="Times New Roman"/>
                <w:szCs w:val="16"/>
              </w:rPr>
              <w:t>5 886,96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437BB" w:rsidRDefault="003538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59"/>
        <w:gridCol w:w="358"/>
        <w:gridCol w:w="404"/>
        <w:gridCol w:w="717"/>
        <w:gridCol w:w="457"/>
        <w:gridCol w:w="552"/>
        <w:gridCol w:w="496"/>
        <w:gridCol w:w="546"/>
        <w:gridCol w:w="491"/>
        <w:gridCol w:w="541"/>
        <w:gridCol w:w="487"/>
        <w:gridCol w:w="537"/>
        <w:gridCol w:w="484"/>
        <w:gridCol w:w="534"/>
        <w:gridCol w:w="481"/>
        <w:gridCol w:w="531"/>
      </w:tblGrid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</w:tc>
      </w:tr>
      <w:tr w:rsidR="006437BB"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437BB" w:rsidRDefault="003538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6437B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696" w:type="dxa"/>
            <w:shd w:val="clear" w:color="FFFFFF" w:fill="auto"/>
            <w:vAlign w:val="bottom"/>
          </w:tcPr>
          <w:p w:rsidR="006437BB" w:rsidRDefault="006437BB"/>
        </w:tc>
        <w:tc>
          <w:tcPr>
            <w:tcW w:w="394" w:type="dxa"/>
            <w:shd w:val="clear" w:color="FFFFFF" w:fill="auto"/>
            <w:vAlign w:val="bottom"/>
          </w:tcPr>
          <w:p w:rsidR="006437BB" w:rsidRDefault="006437BB"/>
        </w:tc>
        <w:tc>
          <w:tcPr>
            <w:tcW w:w="473" w:type="dxa"/>
            <w:shd w:val="clear" w:color="FFFFFF" w:fill="auto"/>
            <w:vAlign w:val="bottom"/>
          </w:tcPr>
          <w:p w:rsidR="006437BB" w:rsidRDefault="006437BB"/>
        </w:tc>
        <w:tc>
          <w:tcPr>
            <w:tcW w:w="86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  <w:tc>
          <w:tcPr>
            <w:tcW w:w="591" w:type="dxa"/>
            <w:shd w:val="clear" w:color="FFFFFF" w:fill="auto"/>
            <w:vAlign w:val="bottom"/>
          </w:tcPr>
          <w:p w:rsidR="006437BB" w:rsidRDefault="006437BB"/>
        </w:tc>
        <w:tc>
          <w:tcPr>
            <w:tcW w:w="656" w:type="dxa"/>
            <w:shd w:val="clear" w:color="FFFFFF" w:fill="auto"/>
            <w:vAlign w:val="bottom"/>
          </w:tcPr>
          <w:p w:rsidR="006437BB" w:rsidRDefault="006437BB"/>
        </w:tc>
      </w:tr>
      <w:tr w:rsidR="006437BB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6437BB">
        <w:tc>
          <w:tcPr>
            <w:tcW w:w="591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437BB" w:rsidRDefault="006437BB">
            <w:pPr>
              <w:jc w:val="center"/>
            </w:pPr>
          </w:p>
        </w:tc>
      </w:tr>
      <w:tr w:rsidR="006437BB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6437BB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FD3F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6437BB">
            <w:pPr>
              <w:wordWrap w:val="0"/>
              <w:jc w:val="center"/>
            </w:pPr>
          </w:p>
        </w:tc>
      </w:tr>
      <w:tr w:rsidR="006437BB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</w:t>
            </w:r>
            <w:r w:rsidR="00FD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Pr="00FD3F79" w:rsidRDefault="00353869">
            <w:pPr>
              <w:wordWrap w:val="0"/>
              <w:jc w:val="center"/>
              <w:rPr>
                <w:szCs w:val="16"/>
              </w:rPr>
            </w:pPr>
            <w:r w:rsidRPr="00FD3F79">
              <w:rPr>
                <w:rFonts w:ascii="Times New Roman" w:hAnsi="Times New Roman"/>
                <w:szCs w:val="16"/>
              </w:rPr>
              <w:t>2 587,15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№3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B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 (к тарифам, указанным в приложении №3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7BB" w:rsidRDefault="003538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437BB" w:rsidRDefault="006437BB"/>
    <w:sectPr w:rsidR="006437B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7BB"/>
    <w:rsid w:val="002B2AAE"/>
    <w:rsid w:val="002F6792"/>
    <w:rsid w:val="00353869"/>
    <w:rsid w:val="0058494C"/>
    <w:rsid w:val="006437BB"/>
    <w:rsid w:val="00CC683B"/>
    <w:rsid w:val="00E5717F"/>
    <w:rsid w:val="00F9348F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10</cp:revision>
  <cp:lastPrinted>2018-12-15T12:12:00Z</cp:lastPrinted>
  <dcterms:created xsi:type="dcterms:W3CDTF">2018-12-15T12:11:00Z</dcterms:created>
  <dcterms:modified xsi:type="dcterms:W3CDTF">2018-12-16T08:10:00Z</dcterms:modified>
</cp:coreProperties>
</file>