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669"/>
        <w:gridCol w:w="701"/>
        <w:gridCol w:w="637"/>
        <w:gridCol w:w="622"/>
        <w:gridCol w:w="655"/>
        <w:gridCol w:w="560"/>
        <w:gridCol w:w="647"/>
        <w:gridCol w:w="483"/>
        <w:gridCol w:w="684"/>
        <w:gridCol w:w="540"/>
        <w:gridCol w:w="361"/>
        <w:gridCol w:w="561"/>
        <w:gridCol w:w="512"/>
        <w:gridCol w:w="571"/>
        <w:gridCol w:w="558"/>
      </w:tblGrid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070CE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C92624" w:rsidRDefault="00C92624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center"/>
          </w:tcPr>
          <w:p w:rsidR="00C92624" w:rsidRDefault="00C92624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C92624" w:rsidRDefault="00070C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C92624" w:rsidRDefault="00070C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C92624" w:rsidRDefault="00C92624">
            <w:pPr>
              <w:jc w:val="right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4" w:type="dxa"/>
            <w:gridSpan w:val="8"/>
            <w:shd w:val="clear" w:color="FFFFFF" w:fill="FFFFFF"/>
            <w:vAlign w:val="center"/>
          </w:tcPr>
          <w:p w:rsidR="00C92624" w:rsidRDefault="00070CE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внесении изменений в приказ министерства тарифного регулирования Калужской области от 27.11.2015 № 443-РК «Об утверждении производственной программы в сфере водоснабжения для открытого 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оснащения»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2016 - 2018 годы» (в редакции приказа министерства конкурентной политики Калужской области от 12.12.2016 № 104-РК)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C92624" w:rsidRDefault="00C92624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C92624" w:rsidRDefault="00C92624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>
            <w:bookmarkStart w:id="0" w:name="_GoBack"/>
            <w:bookmarkEnd w:id="0"/>
          </w:p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C92624" w:rsidRDefault="00C92624">
            <w:pPr>
              <w:jc w:val="right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C92624" w:rsidRDefault="00C92624">
            <w:pPr>
              <w:jc w:val="right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</w:tcPr>
          <w:p w:rsidR="00C92624" w:rsidRDefault="00070C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</w:t>
            </w:r>
            <w:r>
              <w:rPr>
                <w:rFonts w:ascii="Times New Roman" w:hAnsi="Times New Roman"/>
                <w:sz w:val="26"/>
                <w:szCs w:val="26"/>
              </w:rPr>
              <w:t>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</w:t>
            </w:r>
            <w:r>
              <w:rPr>
                <w:rFonts w:ascii="Times New Roman" w:hAnsi="Times New Roman"/>
                <w:sz w:val="26"/>
                <w:szCs w:val="26"/>
              </w:rPr>
              <w:t>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</w:t>
            </w:r>
            <w:r>
              <w:rPr>
                <w:rFonts w:ascii="Times New Roman" w:hAnsi="Times New Roman"/>
                <w:sz w:val="26"/>
                <w:szCs w:val="26"/>
              </w:rPr>
              <w:t>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128, от 26.03.2014 № 196, от 01.02.2016 № 62, от 18.05.2016 № 294, от 16.11.2016 № 617, от 18.01.2017 № 26, от 29.03.2017 № 17</w:t>
            </w:r>
            <w:r>
              <w:rPr>
                <w:rFonts w:ascii="Times New Roman" w:hAnsi="Times New Roman"/>
                <w:sz w:val="26"/>
                <w:szCs w:val="26"/>
              </w:rPr>
              <w:t>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ПРИКАЗЫВАЮ:</w:t>
            </w:r>
            <w:proofErr w:type="gramEnd"/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Калужской области от 27.11.2015 № 443-РК «Об утверждении производственной программы в сфере водоснабжения для открытого акционерного общества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«Боровский завод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оснащения» на 2016 - 2018 годы» (в редакции приказа министерства конкур</w:t>
            </w:r>
            <w:r>
              <w:rPr>
                <w:rFonts w:ascii="Times New Roman" w:hAnsi="Times New Roman"/>
                <w:sz w:val="26"/>
                <w:szCs w:val="26"/>
              </w:rPr>
              <w:t>ентной политики Калужской области от 12.12.2016 № 104-РК) 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C92624" w:rsidRDefault="00070CE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C92624" w:rsidRDefault="00070CE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92624" w:rsidRDefault="00070CE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89"/>
        <w:gridCol w:w="686"/>
        <w:gridCol w:w="608"/>
        <w:gridCol w:w="549"/>
        <w:gridCol w:w="709"/>
        <w:gridCol w:w="576"/>
        <w:gridCol w:w="732"/>
        <w:gridCol w:w="594"/>
        <w:gridCol w:w="655"/>
        <w:gridCol w:w="514"/>
        <w:gridCol w:w="359"/>
        <w:gridCol w:w="527"/>
        <w:gridCol w:w="543"/>
        <w:gridCol w:w="572"/>
        <w:gridCol w:w="542"/>
      </w:tblGrid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C92624" w:rsidRDefault="00070C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C92624" w:rsidRDefault="00070C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C92624" w:rsidRDefault="00070C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C92624" w:rsidRDefault="00070C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C92624" w:rsidRDefault="00070C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C92624" w:rsidRDefault="00C92624">
            <w:pPr>
              <w:jc w:val="right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C92624" w:rsidRDefault="00070C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C92624" w:rsidRDefault="00070C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C92624" w:rsidRDefault="00070C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C92624" w:rsidRDefault="00070C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C92624" w:rsidRDefault="00070C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27.11.2015 № 443-РК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Открытого 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оснащения» на 2016-2018 годы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Паспорт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 xml:space="preserve">открытое акционерное общество «Боровский завод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оснащения», 249028, Калужская область, Боровский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рмолино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ул.Русинова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97 «а»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уполномоченного </w:t>
            </w:r>
            <w:r>
              <w:rPr>
                <w:rFonts w:ascii="Times New Roman" w:hAnsi="Times New Roman"/>
                <w:sz w:val="26"/>
                <w:szCs w:val="26"/>
              </w:rPr>
              <w:t>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</w:t>
            </w:r>
            <w:r>
              <w:rPr>
                <w:rFonts w:ascii="Times New Roman" w:hAnsi="Times New Roman"/>
                <w:sz w:val="26"/>
                <w:szCs w:val="26"/>
              </w:rPr>
              <w:t>ребности на реализацию мероприятия, тыс. руб.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Финансовые потребности </w:t>
            </w:r>
            <w:r>
              <w:rPr>
                <w:rFonts w:ascii="Times New Roman" w:hAnsi="Times New Roman"/>
                <w:sz w:val="26"/>
                <w:szCs w:val="26"/>
              </w:rPr>
              <w:t>на реализацию мероприятия, тыс. руб.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04.08.2016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3,48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04.02.2016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3,48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6,96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04.08.2017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3,68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04.02.2017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3,58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7,26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04.02.2018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3,68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08.08.2018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3,78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7,46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2.3. Перечень плановых мероприятий по </w:t>
            </w:r>
            <w:r>
              <w:rPr>
                <w:rFonts w:ascii="Times New Roman" w:hAnsi="Times New Roman"/>
                <w:sz w:val="26"/>
                <w:szCs w:val="26"/>
              </w:rPr>
              <w:t>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Финансовые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потребности на реализацию мероприятия, тыс. руб.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Планируемый объем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/>
                <w:sz w:val="26"/>
                <w:szCs w:val="26"/>
              </w:rPr>
              <w:t>финансовых потребностей в год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1 113,04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1 155,57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1 204,07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эффективности </w:t>
            </w:r>
            <w:r>
              <w:rPr>
                <w:rFonts w:ascii="Times New Roman" w:hAnsi="Times New Roman"/>
                <w:sz w:val="26"/>
                <w:szCs w:val="26"/>
              </w:rPr>
              <w:t>объектов централизованных систем водоснабжения и (или) водоотведения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Доля проб питьевой воды, подаваемой с источников водоснабжения, водопроводных станций или иных объектов </w:t>
            </w:r>
            <w:r>
              <w:rPr>
                <w:rFonts w:ascii="Times New Roman" w:hAnsi="Times New Roman"/>
                <w:sz w:val="26"/>
                <w:szCs w:val="26"/>
              </w:rPr>
              <w:t>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</w:t>
            </w:r>
            <w:r>
              <w:rPr>
                <w:rFonts w:ascii="Times New Roman" w:hAnsi="Times New Roman"/>
                <w:sz w:val="26"/>
                <w:szCs w:val="26"/>
              </w:rPr>
              <w:t>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 xml:space="preserve">Показатели надежности и бесперебойности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 и водоотведения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</w:t>
            </w:r>
            <w:r>
              <w:rPr>
                <w:rFonts w:ascii="Times New Roman" w:hAnsi="Times New Roman"/>
                <w:sz w:val="26"/>
                <w:szCs w:val="26"/>
              </w:rPr>
              <w:t>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 xml:space="preserve">Доля потерь воды в централизованных системах водоснабжения при ее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 xml:space="preserve">Удельный расход </w:t>
            </w:r>
            <w:r>
              <w:rPr>
                <w:rFonts w:ascii="Times New Roman" w:hAnsi="Times New Roman"/>
                <w:sz w:val="26"/>
                <w:szCs w:val="26"/>
              </w:rPr>
              <w:t>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</w:t>
            </w:r>
            <w:r>
              <w:rPr>
                <w:rFonts w:ascii="Times New Roman" w:hAnsi="Times New Roman"/>
                <w:sz w:val="26"/>
                <w:szCs w:val="26"/>
              </w:rPr>
              <w:t>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t>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</w:t>
            </w:r>
            <w:r>
              <w:rPr>
                <w:rFonts w:ascii="Times New Roman" w:hAnsi="Times New Roman"/>
                <w:sz w:val="26"/>
                <w:szCs w:val="26"/>
              </w:rPr>
              <w:t>раммы в течение срока ее действия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</w:t>
            </w:r>
            <w:r>
              <w:rPr>
                <w:rFonts w:ascii="Times New Roman" w:hAnsi="Times New Roman"/>
                <w:sz w:val="26"/>
                <w:szCs w:val="26"/>
              </w:rPr>
              <w:t>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4%.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34,39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14,21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1 113,04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5 068,83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-3 955,79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2624" w:rsidRDefault="00C92624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3,48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3,48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2624" w:rsidRDefault="00C92624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контроль качества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3,48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3,48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 xml:space="preserve">Отчет о выполнении по энергосбережению и </w:t>
            </w:r>
            <w:r>
              <w:rPr>
                <w:rFonts w:ascii="Times New Roman" w:hAnsi="Times New Roman"/>
                <w:sz w:val="26"/>
                <w:szCs w:val="26"/>
              </w:rPr>
              <w:t>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92624" w:rsidRDefault="00C9262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683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709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96" w:type="dxa"/>
            <w:shd w:val="clear" w:color="FFFFFF" w:fill="auto"/>
            <w:vAlign w:val="bottom"/>
          </w:tcPr>
          <w:p w:rsidR="00C92624" w:rsidRDefault="00C92624"/>
        </w:tc>
        <w:tc>
          <w:tcPr>
            <w:tcW w:w="525" w:type="dxa"/>
            <w:shd w:val="clear" w:color="FFFFFF" w:fill="auto"/>
            <w:vAlign w:val="bottom"/>
          </w:tcPr>
          <w:p w:rsidR="00C92624" w:rsidRDefault="00C92624"/>
        </w:tc>
        <w:tc>
          <w:tcPr>
            <w:tcW w:w="748" w:type="dxa"/>
            <w:shd w:val="clear" w:color="FFFFFF" w:fill="auto"/>
            <w:vAlign w:val="bottom"/>
          </w:tcPr>
          <w:p w:rsidR="00C92624" w:rsidRDefault="00C92624"/>
        </w:tc>
        <w:tc>
          <w:tcPr>
            <w:tcW w:w="591" w:type="dxa"/>
            <w:shd w:val="clear" w:color="FFFFFF" w:fill="auto"/>
            <w:vAlign w:val="bottom"/>
          </w:tcPr>
          <w:p w:rsidR="00C92624" w:rsidRDefault="00C92624"/>
        </w:tc>
        <w:tc>
          <w:tcPr>
            <w:tcW w:w="39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  <w:tc>
          <w:tcPr>
            <w:tcW w:w="564" w:type="dxa"/>
            <w:shd w:val="clear" w:color="FFFFFF" w:fill="auto"/>
            <w:vAlign w:val="bottom"/>
          </w:tcPr>
          <w:p w:rsidR="00C92624" w:rsidRDefault="00C92624"/>
        </w:tc>
        <w:tc>
          <w:tcPr>
            <w:tcW w:w="630" w:type="dxa"/>
            <w:shd w:val="clear" w:color="FFFFFF" w:fill="auto"/>
            <w:vAlign w:val="bottom"/>
          </w:tcPr>
          <w:p w:rsidR="00C92624" w:rsidRDefault="00C92624"/>
        </w:tc>
        <w:tc>
          <w:tcPr>
            <w:tcW w:w="617" w:type="dxa"/>
            <w:shd w:val="clear" w:color="FFFFFF" w:fill="auto"/>
            <w:vAlign w:val="bottom"/>
          </w:tcPr>
          <w:p w:rsidR="00C92624" w:rsidRDefault="00C92624"/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C92624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2624" w:rsidRDefault="00070C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92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C92624" w:rsidRDefault="00070CEB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C92624" w:rsidRDefault="00C92624"/>
        </w:tc>
        <w:tc>
          <w:tcPr>
            <w:tcW w:w="748" w:type="dxa"/>
            <w:shd w:val="clear" w:color="FFFFFF" w:fill="auto"/>
            <w:vAlign w:val="center"/>
          </w:tcPr>
          <w:p w:rsidR="00C92624" w:rsidRDefault="00C92624"/>
        </w:tc>
        <w:tc>
          <w:tcPr>
            <w:tcW w:w="683" w:type="dxa"/>
            <w:shd w:val="clear" w:color="FFFFFF" w:fill="auto"/>
            <w:vAlign w:val="center"/>
          </w:tcPr>
          <w:p w:rsidR="00C92624" w:rsidRDefault="00C92624"/>
        </w:tc>
        <w:tc>
          <w:tcPr>
            <w:tcW w:w="630" w:type="dxa"/>
            <w:shd w:val="clear" w:color="FFFFFF" w:fill="auto"/>
            <w:vAlign w:val="center"/>
          </w:tcPr>
          <w:p w:rsidR="00C92624" w:rsidRDefault="00C92624"/>
        </w:tc>
        <w:tc>
          <w:tcPr>
            <w:tcW w:w="709" w:type="dxa"/>
            <w:shd w:val="clear" w:color="FFFFFF" w:fill="auto"/>
            <w:vAlign w:val="center"/>
          </w:tcPr>
          <w:p w:rsidR="00C92624" w:rsidRDefault="00C92624"/>
        </w:tc>
        <w:tc>
          <w:tcPr>
            <w:tcW w:w="630" w:type="dxa"/>
            <w:shd w:val="clear" w:color="FFFFFF" w:fill="auto"/>
            <w:vAlign w:val="center"/>
          </w:tcPr>
          <w:p w:rsidR="00C92624" w:rsidRDefault="00C92624"/>
        </w:tc>
        <w:tc>
          <w:tcPr>
            <w:tcW w:w="696" w:type="dxa"/>
            <w:shd w:val="clear" w:color="FFFFFF" w:fill="auto"/>
            <w:vAlign w:val="center"/>
          </w:tcPr>
          <w:p w:rsidR="00C92624" w:rsidRDefault="00C92624"/>
        </w:tc>
        <w:tc>
          <w:tcPr>
            <w:tcW w:w="525" w:type="dxa"/>
            <w:shd w:val="clear" w:color="FFFFFF" w:fill="auto"/>
            <w:vAlign w:val="center"/>
          </w:tcPr>
          <w:p w:rsidR="00C92624" w:rsidRDefault="00C92624"/>
        </w:tc>
        <w:tc>
          <w:tcPr>
            <w:tcW w:w="748" w:type="dxa"/>
            <w:shd w:val="clear" w:color="FFFFFF" w:fill="auto"/>
            <w:vAlign w:val="center"/>
          </w:tcPr>
          <w:p w:rsidR="00C92624" w:rsidRDefault="00C92624"/>
        </w:tc>
        <w:tc>
          <w:tcPr>
            <w:tcW w:w="591" w:type="dxa"/>
            <w:shd w:val="clear" w:color="FFFFFF" w:fill="auto"/>
            <w:vAlign w:val="center"/>
          </w:tcPr>
          <w:p w:rsidR="00C92624" w:rsidRDefault="00C92624"/>
        </w:tc>
        <w:tc>
          <w:tcPr>
            <w:tcW w:w="394" w:type="dxa"/>
            <w:shd w:val="clear" w:color="FFFFFF" w:fill="auto"/>
            <w:vAlign w:val="center"/>
          </w:tcPr>
          <w:p w:rsidR="00C92624" w:rsidRDefault="00C92624"/>
        </w:tc>
        <w:tc>
          <w:tcPr>
            <w:tcW w:w="617" w:type="dxa"/>
            <w:shd w:val="clear" w:color="FFFFFF" w:fill="auto"/>
            <w:vAlign w:val="center"/>
          </w:tcPr>
          <w:p w:rsidR="00C92624" w:rsidRDefault="00C92624"/>
        </w:tc>
        <w:tc>
          <w:tcPr>
            <w:tcW w:w="564" w:type="dxa"/>
            <w:shd w:val="clear" w:color="FFFFFF" w:fill="auto"/>
            <w:vAlign w:val="center"/>
          </w:tcPr>
          <w:p w:rsidR="00C92624" w:rsidRDefault="00C92624"/>
        </w:tc>
        <w:tc>
          <w:tcPr>
            <w:tcW w:w="630" w:type="dxa"/>
            <w:shd w:val="clear" w:color="FFFFFF" w:fill="auto"/>
            <w:vAlign w:val="center"/>
          </w:tcPr>
          <w:p w:rsidR="00C92624" w:rsidRDefault="00C92624"/>
        </w:tc>
        <w:tc>
          <w:tcPr>
            <w:tcW w:w="617" w:type="dxa"/>
            <w:shd w:val="clear" w:color="FFFFFF" w:fill="auto"/>
            <w:vAlign w:val="center"/>
          </w:tcPr>
          <w:p w:rsidR="00C92624" w:rsidRDefault="00C92624"/>
        </w:tc>
      </w:tr>
    </w:tbl>
    <w:p w:rsidR="00000000" w:rsidRDefault="00070CEB"/>
    <w:sectPr w:rsidR="00000000" w:rsidSect="00070CE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624"/>
    <w:rsid w:val="00070CEB"/>
    <w:rsid w:val="00C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2</cp:revision>
  <dcterms:created xsi:type="dcterms:W3CDTF">2017-11-13T13:24:00Z</dcterms:created>
  <dcterms:modified xsi:type="dcterms:W3CDTF">2017-11-13T13:25:00Z</dcterms:modified>
</cp:coreProperties>
</file>