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5E4E" w14:textId="77777777" w:rsidR="006F63CA" w:rsidRPr="007F4450" w:rsidRDefault="006F63CA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1D079E6B" w14:textId="77777777" w:rsidR="006F63CA" w:rsidRPr="007F4450" w:rsidRDefault="00456A09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48553EAB" w14:textId="77777777" w:rsidR="006F63CA" w:rsidRPr="007F4450" w:rsidRDefault="006F63CA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0952111F" w14:textId="77777777" w:rsidR="006F63CA" w:rsidRPr="007F4450" w:rsidRDefault="006F63CA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7946D" w14:textId="77777777" w:rsidR="00DA1C49" w:rsidRPr="007F4450" w:rsidRDefault="00DA1C49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5DBFD" w14:textId="77777777" w:rsidR="00646AFD" w:rsidRPr="007F4450" w:rsidRDefault="00646AFD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529D8" w14:textId="77777777" w:rsidR="001E2C87" w:rsidRPr="007F4450" w:rsidRDefault="001E2C87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2E809" w14:textId="77777777" w:rsidR="006F63CA" w:rsidRPr="007F4450" w:rsidRDefault="006F63CA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68EC6D52" w14:textId="77777777" w:rsidR="006F63CA" w:rsidRPr="007F4450" w:rsidRDefault="006F63CA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ACAA4" w14:textId="77777777" w:rsidR="001E2C87" w:rsidRDefault="001E2C87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CC5F9" w14:textId="77777777" w:rsidR="00646AFD" w:rsidRDefault="00646AFD" w:rsidP="0040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3DDD7" w14:textId="77777777" w:rsidR="002F48F1" w:rsidRDefault="002F48F1" w:rsidP="0040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248AA" w14:textId="77777777" w:rsidR="006F63CA" w:rsidRPr="002B6FBA" w:rsidRDefault="006F63CA" w:rsidP="0040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277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14:paraId="6A3A6724" w14:textId="77777777" w:rsidR="006F63CA" w:rsidRPr="007F4450" w:rsidRDefault="006F63CA" w:rsidP="0040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5D93B18F" w14:textId="77777777" w:rsidR="006F63CA" w:rsidRPr="007F4450" w:rsidRDefault="006F63CA" w:rsidP="0040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060FA0DB" w14:textId="77777777" w:rsidR="00AA5F6F" w:rsidRPr="007F4450" w:rsidRDefault="00AA5F6F" w:rsidP="0040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9AA63C" w14:textId="77777777" w:rsidR="006F63CA" w:rsidRPr="007F4450" w:rsidRDefault="006F63CA" w:rsidP="0040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8B793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5727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277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67E819DF" w14:textId="77777777" w:rsidR="006F63CA" w:rsidRPr="007F4450" w:rsidRDefault="006F63CA" w:rsidP="0040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14:paraId="4E356431" w14:textId="77777777" w:rsidR="006F63CA" w:rsidRPr="007F4450" w:rsidRDefault="006F63CA" w:rsidP="0040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18004" w14:textId="77777777" w:rsidR="00763268" w:rsidRPr="007F4450" w:rsidRDefault="00763268" w:rsidP="0040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14:paraId="5EA91FF3" w14:textId="77777777" w:rsidR="00763268" w:rsidRDefault="00763268" w:rsidP="0040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0D618" w14:textId="77777777" w:rsidR="008E60CE" w:rsidRDefault="00763268" w:rsidP="00401D66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710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FB9" w:rsidRPr="00106FB9">
        <w:rPr>
          <w:rFonts w:ascii="Times New Roman" w:eastAsia="Times New Roman" w:hAnsi="Times New Roman" w:cs="Times New Roman"/>
          <w:bCs/>
          <w:sz w:val="24"/>
          <w:szCs w:val="24"/>
        </w:rPr>
        <w:t xml:space="preserve">О.А. Викторова, С.И. Гаврикова, </w:t>
      </w:r>
      <w:r w:rsidR="00A4492E" w:rsidRPr="00106FB9">
        <w:rPr>
          <w:rFonts w:ascii="Times New Roman" w:eastAsia="Times New Roman" w:hAnsi="Times New Roman" w:cs="Times New Roman"/>
          <w:bCs/>
          <w:sz w:val="24"/>
          <w:szCs w:val="24"/>
        </w:rPr>
        <w:t>Г.А. Кузина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7277">
        <w:rPr>
          <w:rFonts w:ascii="Times New Roman" w:eastAsia="Times New Roman" w:hAnsi="Times New Roman" w:cs="Times New Roman"/>
          <w:sz w:val="24"/>
          <w:szCs w:val="24"/>
        </w:rPr>
        <w:t>Л.И. Кучма,</w:t>
      </w:r>
    </w:p>
    <w:p w14:paraId="193B88EB" w14:textId="40C6ECB8" w:rsidR="00A4492E" w:rsidRPr="00390CBE" w:rsidRDefault="00657277" w:rsidP="00401D66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E60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F35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2F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А.А. Магер,</w:t>
      </w:r>
      <w:r w:rsid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Ю.И. Михалев.</w:t>
      </w:r>
    </w:p>
    <w:p w14:paraId="1C005878" w14:textId="77777777" w:rsidR="00763268" w:rsidRDefault="00763268" w:rsidP="0040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319D1F72" w14:textId="77777777" w:rsidR="008E60CE" w:rsidRPr="008E60CE" w:rsidRDefault="00763268" w:rsidP="00401D6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733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60CE" w:rsidRPr="008E60C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629A6" w:rsidRPr="008E60CE">
        <w:rPr>
          <w:rFonts w:ascii="Times New Roman" w:eastAsia="Times New Roman" w:hAnsi="Times New Roman" w:cs="Times New Roman"/>
          <w:bCs/>
          <w:sz w:val="24"/>
          <w:szCs w:val="24"/>
        </w:rPr>
        <w:t>редставител</w:t>
      </w:r>
      <w:r w:rsidR="00397F35" w:rsidRPr="008E60C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629A6" w:rsidRPr="008E60C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регулируем</w:t>
      </w:r>
      <w:r w:rsidR="00153FD6" w:rsidRPr="008E60CE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2629A6" w:rsidRPr="008E60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 w:rsidR="00153FD6" w:rsidRPr="008E60CE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2629A6" w:rsidRPr="008E60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явочному листу</w:t>
      </w:r>
    </w:p>
    <w:p w14:paraId="544EB6CE" w14:textId="4E0AE003" w:rsidR="00142FAD" w:rsidRPr="00142FAD" w:rsidRDefault="008E60CE" w:rsidP="00401D6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60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="002629A6" w:rsidRPr="008E60C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97F35" w:rsidRPr="008E60C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57277" w:rsidRPr="008E60C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629A6" w:rsidRPr="008E60C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657277" w:rsidRPr="008E60C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629A6" w:rsidRPr="008E60CE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6AC7D40D" w14:textId="77777777" w:rsidR="00823DF7" w:rsidRDefault="00823DF7" w:rsidP="00401D6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1EE10D" w14:textId="1240A1B1" w:rsidR="002B6FBA" w:rsidRPr="00823DF7" w:rsidRDefault="00630830" w:rsidP="00401D6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DF7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277" w:rsidRPr="008E60CE">
        <w:rPr>
          <w:rFonts w:ascii="Times New Roman" w:eastAsia="Times New Roman" w:hAnsi="Times New Roman" w:cs="Times New Roman"/>
          <w:sz w:val="24"/>
          <w:szCs w:val="24"/>
        </w:rPr>
        <w:t>В.В. Стрельников, Е.С. Ташкинова.</w:t>
      </w:r>
    </w:p>
    <w:p w14:paraId="2EAC599C" w14:textId="77777777" w:rsidR="007336F2" w:rsidRDefault="007336F2" w:rsidP="00401D6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67DC1" w14:textId="77777777" w:rsidR="00646AFD" w:rsidRPr="00BC3501" w:rsidRDefault="00646AFD" w:rsidP="00401D6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324EA" w14:textId="77777777" w:rsidR="00657277" w:rsidRDefault="00657277" w:rsidP="0098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598624"/>
      <w:bookmarkStart w:id="2" w:name="_Hlk34140799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01D66">
        <w:rPr>
          <w:rFonts w:ascii="Times New Roman" w:hAnsi="Times New Roman" w:cs="Times New Roman"/>
          <w:b/>
          <w:sz w:val="24"/>
          <w:szCs w:val="24"/>
        </w:rPr>
        <w:t>Об утверждении розничных цен на газ, реализуемый населению на территории Калужской области.</w:t>
      </w:r>
    </w:p>
    <w:p w14:paraId="6DEBE9A4" w14:textId="77777777" w:rsidR="00B95A1E" w:rsidRPr="00106FB9" w:rsidRDefault="00B95A1E" w:rsidP="00401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0E6F211B" w14:textId="5487CB88" w:rsidR="00646AFD" w:rsidRPr="00106FB9" w:rsidRDefault="00062AC4" w:rsidP="00401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106FB9" w:rsidRPr="00106FB9">
        <w:rPr>
          <w:rFonts w:ascii="Times New Roman" w:hAnsi="Times New Roman" w:cs="Times New Roman"/>
          <w:b/>
          <w:sz w:val="24"/>
          <w:szCs w:val="24"/>
        </w:rPr>
        <w:t xml:space="preserve">С.И. </w:t>
      </w:r>
      <w:r w:rsidR="002A79D8">
        <w:rPr>
          <w:rFonts w:ascii="Times New Roman" w:hAnsi="Times New Roman" w:cs="Times New Roman"/>
          <w:b/>
          <w:sz w:val="24"/>
          <w:szCs w:val="24"/>
        </w:rPr>
        <w:t>Ландухова</w:t>
      </w:r>
      <w:r w:rsidR="005E320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14:paraId="5855CB45" w14:textId="77777777" w:rsidR="00630830" w:rsidRDefault="00630830" w:rsidP="00401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6E63F453" w14:textId="77777777" w:rsidR="00B43D3D" w:rsidRPr="005E3205" w:rsidRDefault="00B43D3D" w:rsidP="008E6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05">
        <w:rPr>
          <w:rFonts w:ascii="Times New Roman" w:hAnsi="Times New Roman" w:cs="Times New Roman"/>
          <w:sz w:val="24"/>
          <w:szCs w:val="24"/>
        </w:rPr>
        <w:t xml:space="preserve">В связи с отсутствием информации Федеральной антимонопольной службы (далее - ФАС России) по запросу министерства (от 15.05.2020 № НВ-03/700-20) о пересмотре регулируемых оптовых цен на газ до 1 июля 2020 года, а также о возможности, руководствоваться пунктом 29 </w:t>
      </w:r>
      <w:r w:rsidRPr="005E3205">
        <w:rPr>
          <w:rFonts w:ascii="Times New Roman" w:hAnsi="Times New Roman" w:cs="Times New Roman"/>
          <w:bCs/>
          <w:sz w:val="24"/>
          <w:szCs w:val="24"/>
        </w:rPr>
        <w:t xml:space="preserve">Методики, для пересмотра </w:t>
      </w:r>
      <w:r w:rsidRPr="005E3205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 субъекта Российской Федерации в области государственного регулирования тарифов розничных цен на газ, реализуемый населению, в связи с изменением тарифов на транспортировку газа по газораспределительным сетям газораспределительных организаций в случае отсутствия пересмотра ФАС России регулируемых оптовых цен на газ </w:t>
      </w:r>
      <w:r w:rsidR="00401D66">
        <w:rPr>
          <w:rFonts w:ascii="Times New Roman" w:hAnsi="Times New Roman" w:cs="Times New Roman"/>
          <w:sz w:val="24"/>
          <w:szCs w:val="24"/>
        </w:rPr>
        <w:t>предлагается</w:t>
      </w:r>
      <w:r w:rsidRPr="005E3205">
        <w:rPr>
          <w:rFonts w:ascii="Times New Roman" w:hAnsi="Times New Roman" w:cs="Times New Roman"/>
          <w:sz w:val="24"/>
          <w:szCs w:val="24"/>
        </w:rPr>
        <w:t xml:space="preserve"> перенести рассмотрение вопроса «Об утверждении розничной цены на газ, реализуемый населению на территории Калужской области» на другое заседание комиссии по тарифам и ценам министерства. </w:t>
      </w:r>
    </w:p>
    <w:p w14:paraId="0BA10154" w14:textId="77777777" w:rsidR="00B43D3D" w:rsidRPr="005E3205" w:rsidRDefault="00B43D3D" w:rsidP="008E6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79FD8DD5" w14:textId="0F370DCE" w:rsidR="008E60CE" w:rsidRDefault="005E3205" w:rsidP="008E60C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705F86F6" w14:textId="0591A472" w:rsidR="005E3205" w:rsidRPr="00B36535" w:rsidRDefault="005E3205" w:rsidP="008E60CE">
      <w:pPr>
        <w:tabs>
          <w:tab w:val="left" w:pos="72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35">
        <w:rPr>
          <w:rFonts w:ascii="Times New Roman" w:eastAsia="Times New Roman" w:hAnsi="Times New Roman" w:cs="Times New Roman"/>
          <w:sz w:val="24"/>
          <w:szCs w:val="24"/>
        </w:rPr>
        <w:t>Перенести вышеуказанны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36535">
        <w:rPr>
          <w:rFonts w:ascii="Times New Roman" w:eastAsia="Times New Roman" w:hAnsi="Times New Roman" w:cs="Times New Roman"/>
          <w:sz w:val="24"/>
          <w:szCs w:val="24"/>
        </w:rPr>
        <w:t xml:space="preserve"> вопрос для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36535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по существу на </w:t>
      </w:r>
      <w:r w:rsidR="008E60CE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Pr="00B36535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 w:rsidR="00173A1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6535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тарифам и ценам, известив заинтересованных лиц о времени и месте дополнительно.</w:t>
      </w:r>
    </w:p>
    <w:p w14:paraId="1BC98FC5" w14:textId="77777777" w:rsidR="00D03F79" w:rsidRPr="00413D3D" w:rsidRDefault="00D03F79" w:rsidP="00D03F79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D">
        <w:rPr>
          <w:rFonts w:ascii="Times New Roman" w:hAnsi="Times New Roman" w:cs="Times New Roman"/>
          <w:b/>
          <w:sz w:val="24"/>
          <w:szCs w:val="24"/>
        </w:rPr>
        <w:lastRenderedPageBreak/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пояснительн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42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>записк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B36535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 w:rsidRPr="0041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DF7">
        <w:rPr>
          <w:rFonts w:ascii="Times New Roman" w:hAnsi="Times New Roman" w:cs="Times New Roman"/>
          <w:b/>
          <w:sz w:val="24"/>
          <w:szCs w:val="24"/>
        </w:rPr>
        <w:t xml:space="preserve">11.06.2020 </w:t>
      </w:r>
      <w:r w:rsidRPr="00413D3D">
        <w:rPr>
          <w:rFonts w:ascii="Times New Roman" w:hAnsi="Times New Roman" w:cs="Times New Roman"/>
          <w:b/>
          <w:sz w:val="24"/>
          <w:szCs w:val="24"/>
        </w:rPr>
        <w:t>в протокольной форме, голосовали единогласно.</w:t>
      </w:r>
    </w:p>
    <w:p w14:paraId="1E9D2A8C" w14:textId="77777777" w:rsidR="00B43D3D" w:rsidRDefault="00B43D3D" w:rsidP="00DC0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0E75F642" w14:textId="77777777" w:rsidR="00983808" w:rsidRPr="00153FD6" w:rsidRDefault="00983808" w:rsidP="0098380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4FAB2" w14:textId="77777777" w:rsidR="00983808" w:rsidRPr="00153FD6" w:rsidRDefault="00983808" w:rsidP="0092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3FD6" w:rsidRPr="00153FD6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ПИР»,</w:t>
      </w:r>
      <w:r w:rsidR="00153FD6" w:rsidRPr="00153FD6">
        <w:rPr>
          <w:rFonts w:ascii="Times New Roman" w:hAnsi="Times New Roman" w:cs="Times New Roman"/>
          <w:sz w:val="24"/>
          <w:szCs w:val="24"/>
        </w:rPr>
        <w:t xml:space="preserve"> </w:t>
      </w:r>
      <w:r w:rsidR="00153FD6" w:rsidRPr="00153FD6">
        <w:rPr>
          <w:rFonts w:ascii="Times New Roman" w:hAnsi="Times New Roman" w:cs="Times New Roman"/>
          <w:b/>
          <w:sz w:val="24"/>
          <w:szCs w:val="24"/>
        </w:rPr>
        <w:t>расположенного по адресу: «Калужская область, г. Калуга, ул. Вишневского, д.1» по индивидуальному проекту ГКУ КО «Управление капитального строительства».</w:t>
      </w:r>
    </w:p>
    <w:p w14:paraId="48C26BC2" w14:textId="77777777" w:rsidR="00983808" w:rsidRPr="00106FB9" w:rsidRDefault="00983808" w:rsidP="00921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65ACDD4C" w14:textId="531344A4" w:rsidR="00983808" w:rsidRPr="00106FB9" w:rsidRDefault="00983808" w:rsidP="0092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О.А</w:t>
      </w:r>
      <w:r w:rsidR="001B2E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Викторова</w:t>
      </w:r>
      <w:r w:rsidR="004A5A6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В.В. Стрельников.</w:t>
      </w:r>
    </w:p>
    <w:p w14:paraId="33B2950F" w14:textId="77777777" w:rsidR="00983808" w:rsidRDefault="00983808" w:rsidP="009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650D423B" w14:textId="77777777" w:rsidR="00153FD6" w:rsidRPr="00565CFE" w:rsidRDefault="00153FD6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 предприятия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 расположенного по адресу: «Калужская область, г. Калуга, ул. Вишневского, д.1» по индивидуальному проекту ГКУ КО «Управление капитального строительства» (далее – объект Заявителя) (письмо от 20.05.2020  № 03/2083-20).</w:t>
      </w:r>
    </w:p>
    <w:p w14:paraId="48B2ACD9" w14:textId="77777777" w:rsidR="00565CFE" w:rsidRPr="00565CFE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Суммарная подключаемая нагрузка в точке подключения объекта Заявителя составляет:</w:t>
      </w:r>
    </w:p>
    <w:p w14:paraId="099DCB64" w14:textId="77777777" w:rsidR="00565CFE" w:rsidRPr="00565CFE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- по водопотреблению – 135,6 куб. м в сутки</w:t>
      </w:r>
    </w:p>
    <w:p w14:paraId="0590648B" w14:textId="77777777" w:rsidR="00565CFE" w:rsidRPr="00565CFE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- по водоотведению – 93,0 куб. м в сутки</w:t>
      </w:r>
    </w:p>
    <w:p w14:paraId="0F6DD83B" w14:textId="77777777" w:rsidR="00565CFE" w:rsidRPr="00565CFE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Калужской области от 07.06.2017 № 345 «О внесении изменений в постановление Правительства Калужской области от 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040CF799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к централизованной системе:</w:t>
      </w:r>
    </w:p>
    <w:p w14:paraId="008369D9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 холодного водоснабжения – 1497,599 тыс. руб. (без НДС);</w:t>
      </w:r>
    </w:p>
    <w:p w14:paraId="4C806553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         водоотведения – 6528,060 тыс. руб. (без НДС)</w:t>
      </w:r>
    </w:p>
    <w:p w14:paraId="74BC0388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FE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14:paraId="6BE070AA" w14:textId="77777777" w:rsidR="00565CFE" w:rsidRPr="00565CFE" w:rsidRDefault="00565CFE" w:rsidP="005949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FE">
        <w:rPr>
          <w:rFonts w:ascii="Times New Roman" w:eastAsia="Times New Roman" w:hAnsi="Times New Roman" w:cs="Times New Roman"/>
          <w:sz w:val="24"/>
          <w:szCs w:val="24"/>
        </w:rPr>
        <w:t>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водоснабжения.</w:t>
      </w:r>
    </w:p>
    <w:p w14:paraId="1C4F1821" w14:textId="77777777" w:rsidR="00565CFE" w:rsidRPr="00565CFE" w:rsidRDefault="00565CFE" w:rsidP="005949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FE">
        <w:rPr>
          <w:rFonts w:ascii="Times New Roman" w:eastAsia="Times New Roman" w:hAnsi="Times New Roman" w:cs="Times New Roman"/>
          <w:sz w:val="24"/>
          <w:szCs w:val="24"/>
        </w:rPr>
        <w:t>Расчеты на строительство сетей холодного водоснабжения и водоотведения.</w:t>
      </w:r>
    </w:p>
    <w:p w14:paraId="215D72E5" w14:textId="77777777" w:rsidR="00565CFE" w:rsidRPr="00565CFE" w:rsidRDefault="00565CFE" w:rsidP="005949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FE">
        <w:rPr>
          <w:rFonts w:ascii="Times New Roman" w:eastAsia="Times New Roman" w:hAnsi="Times New Roman" w:cs="Times New Roman"/>
          <w:sz w:val="24"/>
          <w:szCs w:val="24"/>
        </w:rPr>
        <w:t>Расчет расходов на проектные и изыскательские работы (далее – ПИР).</w:t>
      </w:r>
    </w:p>
    <w:p w14:paraId="190D8AEB" w14:textId="77777777" w:rsidR="00565CFE" w:rsidRPr="00565CFE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FE">
        <w:rPr>
          <w:rFonts w:ascii="Times New Roman" w:eastAsia="Times New Roman" w:hAnsi="Times New Roman" w:cs="Times New Roman"/>
          <w:sz w:val="24"/>
          <w:szCs w:val="24"/>
        </w:rPr>
        <w:t>4. Локально - сметные расчеты на строительство сетей холодного водоснабжения.</w:t>
      </w:r>
    </w:p>
    <w:p w14:paraId="3797170A" w14:textId="77777777" w:rsidR="00565CFE" w:rsidRPr="00565CFE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eastAsia="Times New Roman" w:hAnsi="Times New Roman" w:cs="Times New Roman"/>
          <w:sz w:val="24"/>
          <w:szCs w:val="24"/>
        </w:rPr>
        <w:t>5. А</w:t>
      </w:r>
      <w:r w:rsidRPr="00565CFE">
        <w:rPr>
          <w:rFonts w:ascii="Times New Roman" w:hAnsi="Times New Roman" w:cs="Times New Roman"/>
          <w:sz w:val="24"/>
          <w:szCs w:val="24"/>
        </w:rPr>
        <w:t>кт от 20.09.2019 № 330 технического освидетельствования участка водопроводной/ канализационной сети (далее – акт технического освидетельствования).</w:t>
      </w:r>
    </w:p>
    <w:p w14:paraId="3A5BA0EB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lastRenderedPageBreak/>
        <w:t>6. Постановление Городской Управы города Калуги от 27.02.2020 № 1705-пи «Об утверждении технического задания на разработку инвестиционной программы ГП «Калугаоблводоканал» по развитию систем водоснабжения и водоотведения муниципального образования «Город Калуга» на 2020-2023 гг.»</w:t>
      </w:r>
    </w:p>
    <w:p w14:paraId="68391961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 Методическим указаниям.</w:t>
      </w:r>
    </w:p>
    <w:p w14:paraId="718F9F69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На момент проведения экспертизы расчетов технические условия подключения отсутствуют.</w:t>
      </w:r>
    </w:p>
    <w:p w14:paraId="09F8559C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Согласно представленному ГП «Калугаоблводоканал» акту технического освидетельствования участка водопроводной/канализационной сети от 20.09.2019 № 330 ГП «Калугаоблводоканал» следует, что для осуществления подключения (технологического присоединения) объекта капитального строительства  заявителя  к  сетям водоснабжения и водоотведения предприятию  необходимо  выполнить следующие мероприятия</w:t>
      </w:r>
      <w:r w:rsidRPr="00565C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F8EAAA" w14:textId="77777777" w:rsidR="00565CFE" w:rsidRDefault="00565CFE" w:rsidP="00594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Водоснабжение:</w:t>
      </w:r>
    </w:p>
    <w:p w14:paraId="664F2D93" w14:textId="77777777" w:rsidR="00565CFE" w:rsidRPr="00565CFE" w:rsidRDefault="00565CFE" w:rsidP="00594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1. Для подключения застройки к существующей водопроводной сети до точки подключения, выполнить следующие мероприятия:</w:t>
      </w:r>
    </w:p>
    <w:p w14:paraId="06944958" w14:textId="77777777" w:rsidR="00565CFE" w:rsidRPr="00565CFE" w:rsidRDefault="00565CFE" w:rsidP="0059497B">
      <w:pPr>
        <w:tabs>
          <w:tab w:val="left" w:pos="4536"/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- строительство водовода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>=110 мм от площадки застройки (границы земельного участка) до ВК1 протяженностью 20 п. м. с обустройством смотровых в/колодцев диметром 1м – 2 шт.;</w:t>
      </w:r>
    </w:p>
    <w:p w14:paraId="01CE642D" w14:textId="77777777" w:rsidR="00565CFE" w:rsidRPr="00565CFE" w:rsidRDefault="00565CFE" w:rsidP="0059497B">
      <w:pPr>
        <w:tabs>
          <w:tab w:val="left" w:pos="4536"/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- при строительстве водовода под а/дорогой предусмотреть устройство футляров внутренним диаметром не менее 300мм, протяженностью 20 п. м.;</w:t>
      </w:r>
    </w:p>
    <w:p w14:paraId="65E5D675" w14:textId="77777777" w:rsidR="00565CFE" w:rsidRPr="00565CFE" w:rsidRDefault="00565CFE" w:rsidP="0059497B">
      <w:pPr>
        <w:tabs>
          <w:tab w:val="left" w:pos="4536"/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- в точке подключения ВК1 произвести подключение к существующему водоводу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 xml:space="preserve">=200 мм с установкой задвижек: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 xml:space="preserve">=200 мм – 1 шт.,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>=100 мм – 1 шт.; а также ПГ (</w:t>
      </w:r>
      <w:r w:rsidRPr="00565C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5CFE">
        <w:rPr>
          <w:rFonts w:ascii="Times New Roman" w:hAnsi="Times New Roman" w:cs="Times New Roman"/>
          <w:sz w:val="24"/>
          <w:szCs w:val="24"/>
        </w:rPr>
        <w:t>=1750 м) – 1 шт.</w:t>
      </w:r>
    </w:p>
    <w:p w14:paraId="3D61249E" w14:textId="77777777" w:rsidR="00565CFE" w:rsidRPr="00565CFE" w:rsidRDefault="00565CFE" w:rsidP="00594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Водоотведение:</w:t>
      </w:r>
    </w:p>
    <w:p w14:paraId="52C69145" w14:textId="77777777" w:rsidR="00565CFE" w:rsidRPr="00565CFE" w:rsidRDefault="00565CFE" w:rsidP="0059497B">
      <w:pPr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5CFE">
        <w:rPr>
          <w:rFonts w:ascii="Times New Roman" w:hAnsi="Times New Roman" w:cs="Times New Roman"/>
          <w:sz w:val="24"/>
          <w:szCs w:val="24"/>
        </w:rPr>
        <w:t>1. Для подключения застройки к существующей канализационной сети до точки подключения выполнить следующие мероприятия:</w:t>
      </w:r>
    </w:p>
    <w:p w14:paraId="26BFF609" w14:textId="77777777" w:rsidR="00565CFE" w:rsidRPr="00565CFE" w:rsidRDefault="00565CFE" w:rsidP="005949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- строительство самотечного канализационного коллектора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>=200 мм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CFE">
        <w:rPr>
          <w:rFonts w:ascii="Times New Roman" w:hAnsi="Times New Roman" w:cs="Times New Roman"/>
          <w:sz w:val="24"/>
          <w:szCs w:val="24"/>
        </w:rPr>
        <w:t xml:space="preserve">площадки застройки (границы земельного участка) до точки подключения КК1 (существующий канализационный коллектор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>=500мм) протяженностью 86 п. м. с обустройством смотровых к/колодцев диаметром 2м – 2 шт.;</w:t>
      </w:r>
    </w:p>
    <w:p w14:paraId="2D4E7550" w14:textId="77777777" w:rsidR="00565CFE" w:rsidRPr="00565CFE" w:rsidRDefault="00565CFE" w:rsidP="005949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- при строительстве коллектора под а/дорогой предусмотреть устройство футляра внутренним диаметром не менее 400мм, протяженностью 28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>.</w:t>
      </w:r>
    </w:p>
    <w:p w14:paraId="35F740D3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2. В связи с недостаточной мощностью насосного оборудования на КНС «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Анненки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 xml:space="preserve">» (один насосный агрегат в работе) и для нормального функционирования КНС при приеме дополнительного объема стоков, в том числе в период паводка, необходимо выполнить: </w:t>
      </w:r>
    </w:p>
    <w:p w14:paraId="697EB26C" w14:textId="77777777" w:rsidR="00565CFE" w:rsidRPr="00565CFE" w:rsidRDefault="00565CFE" w:rsidP="005949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- монтаж энергооборудования, шкаф управления ОНИКС МК3-210-П-GPRS- IP54-У3.1 – 1 шт.;</w:t>
      </w:r>
    </w:p>
    <w:p w14:paraId="3C8FB5EC" w14:textId="77777777" w:rsidR="00565CFE" w:rsidRPr="00565CFE" w:rsidRDefault="00565CFE" w:rsidP="005949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- монтаж насосного оборудования марки </w:t>
      </w:r>
      <w:r w:rsidRPr="00565CFE">
        <w:rPr>
          <w:rFonts w:ascii="Times New Roman" w:hAnsi="Times New Roman" w:cs="Times New Roman"/>
          <w:sz w:val="24"/>
          <w:szCs w:val="24"/>
          <w:lang w:val="en-US"/>
        </w:rPr>
        <w:t>WILO</w:t>
      </w:r>
      <w:r w:rsidRPr="00565CFE">
        <w:rPr>
          <w:rFonts w:ascii="Times New Roman" w:hAnsi="Times New Roman" w:cs="Times New Roman"/>
          <w:sz w:val="24"/>
          <w:szCs w:val="24"/>
        </w:rPr>
        <w:t xml:space="preserve"> </w:t>
      </w:r>
      <w:r w:rsidRPr="00565CFE">
        <w:rPr>
          <w:rFonts w:ascii="Times New Roman" w:hAnsi="Times New Roman" w:cs="Times New Roman"/>
          <w:color w:val="000000"/>
          <w:sz w:val="24"/>
          <w:szCs w:val="24"/>
        </w:rPr>
        <w:t>FA 15.98</w:t>
      </w:r>
      <w:r w:rsidR="00195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CFE">
        <w:rPr>
          <w:rFonts w:ascii="Times New Roman" w:hAnsi="Times New Roman" w:cs="Times New Roman"/>
          <w:color w:val="000000"/>
          <w:sz w:val="24"/>
          <w:szCs w:val="24"/>
        </w:rPr>
        <w:t xml:space="preserve">D + FK 34.1-4/42 </w:t>
      </w:r>
      <w:r w:rsidRPr="00565CFE">
        <w:rPr>
          <w:rFonts w:ascii="Times New Roman" w:hAnsi="Times New Roman" w:cs="Times New Roman"/>
          <w:sz w:val="24"/>
          <w:szCs w:val="24"/>
        </w:rPr>
        <w:t xml:space="preserve">– 1 шт. </w:t>
      </w:r>
    </w:p>
    <w:p w14:paraId="7042ECA8" w14:textId="77777777" w:rsidR="00565CFE" w:rsidRPr="00565CFE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DE5A3" w14:textId="77777777" w:rsidR="00565CFE" w:rsidRPr="00565CFE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Расчетный объем расходов на осуществление мероприятий по подключению к централизованной системе водоснабжения, заявляемый регулируемой организацией, составил 1 497,599 тыс. руб.  без НДС, в том числе:</w:t>
      </w:r>
    </w:p>
    <w:p w14:paraId="42DF7AC0" w14:textId="77777777" w:rsidR="00565CFE" w:rsidRPr="00565CFE" w:rsidRDefault="00565CFE" w:rsidP="00594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Расходов на проектирование и инженерно-геодезические изыскания и государственную экспертизу</w:t>
      </w:r>
      <w:r w:rsidRPr="00565CFE">
        <w:rPr>
          <w:rFonts w:ascii="Times New Roman" w:hAnsi="Times New Roman" w:cs="Times New Roman"/>
          <w:sz w:val="24"/>
          <w:szCs w:val="24"/>
        </w:rPr>
        <w:tab/>
        <w:t xml:space="preserve">415,472 тыс. руб., определяемых сметой на выполнение проектно-изыскательских работ по строительству сетей водоснабжения от площадки застройки до ВК 1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 xml:space="preserve">=110 мм </w:t>
      </w:r>
      <w:r w:rsidRPr="00565CF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65CFE">
        <w:rPr>
          <w:rFonts w:ascii="Times New Roman" w:hAnsi="Times New Roman" w:cs="Times New Roman"/>
          <w:sz w:val="24"/>
          <w:szCs w:val="24"/>
        </w:rPr>
        <w:t xml:space="preserve">=20 п. м. и расчетом стоимости экспертизы проектных работ </w:t>
      </w:r>
      <w:r w:rsidRPr="00565CFE">
        <w:rPr>
          <w:rFonts w:ascii="Times New Roman" w:hAnsi="Times New Roman" w:cs="Times New Roman"/>
          <w:sz w:val="24"/>
          <w:szCs w:val="24"/>
        </w:rPr>
        <w:lastRenderedPageBreak/>
        <w:t xml:space="preserve">и результатов инженерных изысканий «Сети водоснабжения от площадки застройки до ВК1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 xml:space="preserve">=110 мм </w:t>
      </w:r>
      <w:r w:rsidRPr="00565CF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65CFE">
        <w:rPr>
          <w:rFonts w:ascii="Times New Roman" w:hAnsi="Times New Roman" w:cs="Times New Roman"/>
          <w:sz w:val="24"/>
          <w:szCs w:val="24"/>
        </w:rPr>
        <w:t xml:space="preserve">=20 п. м. </w:t>
      </w:r>
    </w:p>
    <w:p w14:paraId="1274FE1B" w14:textId="77777777" w:rsidR="00565CFE" w:rsidRPr="00565CFE" w:rsidRDefault="00565CFE" w:rsidP="00594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Расходов на строительство сетей водоснабжения, определенных сметным расчетом согласно сборникам федеральных единичных расценок с учетом применения индекса потребительских цен в размере 1,03 на 2020 г. и 1,037 на 2021 г. (на основании основных параметров прогноза социально-экономического развития на 2020 год и на плановый период 2021 и 2022 гг. Минэкономразвития РФ), в размере 724,761 тыс. руб. </w:t>
      </w:r>
    </w:p>
    <w:p w14:paraId="2D4509EE" w14:textId="77777777" w:rsidR="00565CFE" w:rsidRPr="00565CFE" w:rsidRDefault="00565CFE" w:rsidP="00594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Внереализационные расходы - 1,348 тыс. руб.</w:t>
      </w:r>
    </w:p>
    <w:p w14:paraId="4C9ACB2C" w14:textId="77777777" w:rsidR="00565CFE" w:rsidRPr="00565CFE" w:rsidRDefault="00565CFE" w:rsidP="00594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Налога на прибыль - 299,520 тыс. руб.</w:t>
      </w:r>
    </w:p>
    <w:p w14:paraId="69713D69" w14:textId="77777777" w:rsidR="00565CFE" w:rsidRPr="00565CFE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Расчетный объем расходов на осуществление мероприятий по подключению к централизованной системе водоотведения составил 6 528,060 тыс. руб. без НДС, в том числе:</w:t>
      </w:r>
    </w:p>
    <w:p w14:paraId="384DCA99" w14:textId="77777777" w:rsidR="00565CFE" w:rsidRPr="00565CFE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1. Расходов на строительство сетей водоотведения,  выполненных по укрупненным сметным нормативам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пор выработке государственной политики и нормативно-правовому регулированию в сфере строительства, утвержденным приказом Министерства строительства и ЖКХ РФ № 936/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 xml:space="preserve"> от 28.06.2017 г.  и сметных расчетов, в размере 2 610,913 тыс. руб. без НДС. </w:t>
      </w:r>
    </w:p>
    <w:p w14:paraId="1B62272D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Внериализационные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 xml:space="preserve"> расходы - 2,235 тыс.  руб.</w:t>
      </w:r>
    </w:p>
    <w:p w14:paraId="1F85A9CA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3. Налог на прибыль - 522,183 тыс.  руб.</w:t>
      </w:r>
    </w:p>
    <w:p w14:paraId="65CF65F3" w14:textId="77777777" w:rsidR="00565CFE" w:rsidRPr="00565CFE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Расчетный объем расходов связанных с модернизацией КНС, составил 3 917,148 тыс. руб. без НДС, в том числе:</w:t>
      </w:r>
    </w:p>
    <w:p w14:paraId="608704A0" w14:textId="77777777" w:rsidR="00565CFE" w:rsidRPr="00565CFE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1. Расходов на установку дополнительного оборудования на КНС, определенных сметным расчетом согласно сборникам федеральных единичных расценок с применения индекса потребительских цен в размере 1,03 на 2020 г. и 1,037 на 2021 г. (на основании основных параметров прогноза социально-экономического развития на 2020 год и на плановый период 2021 и 2022 гг. Минэкономразвития РФ), в размере 3 132,717 тыс. руб. </w:t>
      </w:r>
    </w:p>
    <w:p w14:paraId="36C956CD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5CFE">
        <w:rPr>
          <w:rFonts w:ascii="Times New Roman" w:hAnsi="Times New Roman" w:cs="Times New Roman"/>
          <w:sz w:val="24"/>
          <w:szCs w:val="24"/>
        </w:rPr>
        <w:t>Внериализационные</w:t>
      </w:r>
      <w:proofErr w:type="spellEnd"/>
      <w:r w:rsidRPr="00565CFE">
        <w:rPr>
          <w:rFonts w:ascii="Times New Roman" w:hAnsi="Times New Roman" w:cs="Times New Roman"/>
          <w:sz w:val="24"/>
          <w:szCs w:val="24"/>
        </w:rPr>
        <w:t xml:space="preserve"> расходы- 1,001тыс.  руб.</w:t>
      </w:r>
    </w:p>
    <w:p w14:paraId="6513C6CB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3. налог на прибыль- 783,430 тыс.  руб.</w:t>
      </w:r>
    </w:p>
    <w:p w14:paraId="42BE4F29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6DD">
        <w:rPr>
          <w:rFonts w:ascii="Times New Roman" w:eastAsia="Times New Roman" w:hAnsi="Times New Roman" w:cs="Times New Roman"/>
          <w:bCs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которого:</w:t>
      </w:r>
    </w:p>
    <w:p w14:paraId="19EFA393" w14:textId="77777777" w:rsidR="00565CFE" w:rsidRPr="009136DD" w:rsidRDefault="00565CFE" w:rsidP="0059497B">
      <w:pPr>
        <w:pStyle w:val="Default"/>
        <w:ind w:firstLine="709"/>
        <w:jc w:val="both"/>
        <w:rPr>
          <w:rFonts w:eastAsia="Times New Roman"/>
          <w:bCs/>
          <w:color w:val="auto"/>
        </w:rPr>
      </w:pPr>
      <w:r w:rsidRPr="009136DD">
        <w:rPr>
          <w:rFonts w:eastAsia="Times New Roman"/>
          <w:bCs/>
        </w:rPr>
        <w:t>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</w:t>
      </w:r>
      <w:r w:rsidRPr="009136DD">
        <w:rPr>
          <w:rFonts w:eastAsia="Times New Roman"/>
          <w:bCs/>
          <w:color w:val="auto"/>
        </w:rPr>
        <w:t xml:space="preserve"> 867,820 тыс. руб. и составит </w:t>
      </w:r>
      <w:r w:rsidRPr="009136DD">
        <w:rPr>
          <w:rFonts w:eastAsia="Times New Roman"/>
          <w:bCs/>
        </w:rPr>
        <w:t xml:space="preserve">629,779 </w:t>
      </w:r>
      <w:r w:rsidRPr="009136DD">
        <w:rPr>
          <w:rFonts w:eastAsia="Times New Roman"/>
          <w:bCs/>
          <w:color w:val="auto"/>
        </w:rPr>
        <w:t>тыс. руб. (без учета НДС).</w:t>
      </w:r>
    </w:p>
    <w:p w14:paraId="1963036A" w14:textId="77777777" w:rsidR="00565CFE" w:rsidRPr="009136DD" w:rsidRDefault="00565CFE" w:rsidP="0059497B">
      <w:pPr>
        <w:pStyle w:val="Default"/>
        <w:ind w:firstLine="709"/>
        <w:jc w:val="both"/>
        <w:rPr>
          <w:rFonts w:eastAsia="Times New Roman"/>
          <w:bCs/>
          <w:color w:val="auto"/>
        </w:rPr>
      </w:pPr>
      <w:r w:rsidRPr="009136DD">
        <w:rPr>
          <w:rFonts w:eastAsia="Times New Roman"/>
          <w:bCs/>
          <w:color w:val="auto"/>
        </w:rPr>
        <w:t>По расчету экспертов:</w:t>
      </w:r>
    </w:p>
    <w:p w14:paraId="0686B827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6DD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121 Методических указаний, расходы приняты в размере, не превышающем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14:paraId="79535DF2" w14:textId="77777777" w:rsidR="00565CFE" w:rsidRPr="00565CFE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Для объектов непроизводственного назначения, по которым не установлены укрупненные сметные нормативы, указанные расходы определялись с учетом представленной регулируемой организацией сметной стоимости таких работ. </w:t>
      </w:r>
    </w:p>
    <w:p w14:paraId="0E480C72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При этом, показатели НЦС учитывают затраты на оплату труда рабочих и эксплуатацию строительных машин (механизмов), стоимость строительных материальных ресурсов, накладные расходы и сметную прибыль, а также затраты на строительство временных титульных зданий и сооружений (учтенные сметными нормами затрат на строительство временных титульных зданий и сооружений), дополнительные затраты при производстве строительно-монтажных работ в зимнее время (учтенные сметными нормами дополнительных затрат при производстве строительно-монтажных работ в зимнее время), </w:t>
      </w:r>
      <w:r w:rsidRPr="00565CFE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проектно-изыскательские работы и экспертизу проекта, строительный контроль, резерв средств на </w:t>
      </w:r>
      <w:r w:rsidRPr="009136DD">
        <w:rPr>
          <w:rFonts w:ascii="Times New Roman" w:hAnsi="Times New Roman" w:cs="Times New Roman"/>
          <w:sz w:val="24"/>
          <w:szCs w:val="24"/>
        </w:rPr>
        <w:t>непредвиденные работы и затраты.</w:t>
      </w:r>
    </w:p>
    <w:p w14:paraId="7D122AE1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Расчет платы на строительство сетей водоснабжения произведен с учетом положений НЦС 81-02-14-2020, Сборник № 14 «Наружные сети водоснабжения и канализации».</w:t>
      </w:r>
    </w:p>
    <w:p w14:paraId="3D040628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DD">
        <w:rPr>
          <w:rFonts w:ascii="Times New Roman" w:eastAsia="Times New Roman" w:hAnsi="Times New Roman" w:cs="Times New Roman"/>
          <w:sz w:val="24"/>
          <w:szCs w:val="24"/>
        </w:rPr>
        <w:t>В результате расчета экспертной группой уменьшены затраты на сумму 867,820 тыс. руб., в том числе:</w:t>
      </w:r>
    </w:p>
    <w:p w14:paraId="5E6CEF4A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DD">
        <w:rPr>
          <w:rFonts w:ascii="Times New Roman" w:eastAsia="Times New Roman" w:hAnsi="Times New Roman" w:cs="Times New Roman"/>
          <w:sz w:val="24"/>
          <w:szCs w:val="24"/>
        </w:rPr>
        <w:t>- затраты на строительно-монтажные работы, проектно-изыскательские работы и экспертизу проекта на сумму 692,908 тыс. руб.</w:t>
      </w:r>
    </w:p>
    <w:p w14:paraId="1424E405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DD">
        <w:rPr>
          <w:rFonts w:ascii="Times New Roman" w:eastAsia="Times New Roman" w:hAnsi="Times New Roman" w:cs="Times New Roman"/>
          <w:sz w:val="24"/>
          <w:szCs w:val="24"/>
        </w:rPr>
        <w:t>- налог на прибыль на сумму 173,564 тыс. руб.</w:t>
      </w:r>
    </w:p>
    <w:p w14:paraId="664C4A23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DD">
        <w:rPr>
          <w:rFonts w:ascii="Times New Roman" w:eastAsia="Times New Roman" w:hAnsi="Times New Roman" w:cs="Times New Roman"/>
          <w:sz w:val="24"/>
          <w:szCs w:val="24"/>
        </w:rPr>
        <w:t xml:space="preserve">- внереализационные расходы на сумму 1,348 тыс. руб.    </w:t>
      </w:r>
    </w:p>
    <w:p w14:paraId="17C51502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DD">
        <w:rPr>
          <w:rFonts w:ascii="Times New Roman" w:eastAsia="Times New Roman" w:hAnsi="Times New Roman" w:cs="Times New Roman"/>
          <w:sz w:val="24"/>
          <w:szCs w:val="24"/>
        </w:rPr>
        <w:t>Индивидуальная плата за подключение (технологическое присоединение) к централизованной системе водоотведения объекта Заявителя снижена на сумму 845,241 тыс. руб. и составит 5682,815 тыс. руб. (без учета НДС).</w:t>
      </w:r>
    </w:p>
    <w:p w14:paraId="7EC39D9A" w14:textId="77777777" w:rsidR="00565CFE" w:rsidRPr="009136DD" w:rsidRDefault="00565CFE" w:rsidP="005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DD">
        <w:rPr>
          <w:rFonts w:ascii="Times New Roman" w:eastAsia="Times New Roman" w:hAnsi="Times New Roman" w:cs="Times New Roman"/>
          <w:sz w:val="24"/>
          <w:szCs w:val="24"/>
        </w:rPr>
        <w:t>Расходы на прокладку сетей водоотведения к централизованной системе водоотведения объекта Заявителя приняты в размере 1766,924 тыс. руб. без учета НДС.</w:t>
      </w:r>
    </w:p>
    <w:p w14:paraId="31821FC5" w14:textId="77777777" w:rsidR="00565CFE" w:rsidRPr="009136DD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В результате расчета экспертной группой уменьшены затраты на сумму 843,989 тыс. руб., в том числе:</w:t>
      </w:r>
    </w:p>
    <w:p w14:paraId="6809A819" w14:textId="77777777" w:rsidR="00565CFE" w:rsidRPr="009136DD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- затраты на строительно-монтажные работы, проектно-изыскательские работы и экспертизу проекта на сумму 672,957 тыс. руб.</w:t>
      </w:r>
    </w:p>
    <w:p w14:paraId="5582B7A0" w14:textId="77777777" w:rsidR="00565CFE" w:rsidRPr="009136DD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- налог на прибыль на сумму 168,798 тыс. руб.</w:t>
      </w:r>
    </w:p>
    <w:p w14:paraId="12CB4839" w14:textId="77777777" w:rsidR="00565CFE" w:rsidRPr="009136DD" w:rsidRDefault="00565CFE" w:rsidP="0059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- внереализационные расходы на сумму 2,235 тыс. руб.</w:t>
      </w:r>
    </w:p>
    <w:p w14:paraId="1B9E770B" w14:textId="77777777" w:rsidR="00565CFE" w:rsidRPr="009136DD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Экспертной группой объем расходов на проведение работ по модернизации КНС принят в размере 3915,891 тыс. руб. без НДС, в том числе:</w:t>
      </w:r>
    </w:p>
    <w:p w14:paraId="2949ADA6" w14:textId="77777777" w:rsidR="00565CFE" w:rsidRPr="009136DD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1. Расходов на установку дополнительного оборудования на КНС, определенных сметным расчетом согласно сборникам федеральных единичных расценок с применения индекса потребительских цен в размере</w:t>
      </w:r>
      <w:r w:rsidRPr="00565CFE">
        <w:rPr>
          <w:rFonts w:ascii="Times New Roman" w:hAnsi="Times New Roman" w:cs="Times New Roman"/>
          <w:sz w:val="24"/>
          <w:szCs w:val="24"/>
        </w:rPr>
        <w:t xml:space="preserve"> 1,03 на 2020 г. и 1,037 на 2021 г. (на основании основных параметров прогноза социально-</w:t>
      </w:r>
      <w:r w:rsidRPr="009136DD">
        <w:rPr>
          <w:rFonts w:ascii="Times New Roman" w:hAnsi="Times New Roman" w:cs="Times New Roman"/>
          <w:sz w:val="24"/>
          <w:szCs w:val="24"/>
        </w:rPr>
        <w:t xml:space="preserve">экономического развития на 2020 год и на плановый период 2021 и 2022 гг. Минэкономразвития РФ), в размере 3 132,717 тыс. руб. </w:t>
      </w:r>
    </w:p>
    <w:p w14:paraId="0A978C2E" w14:textId="77777777" w:rsidR="00565CFE" w:rsidRPr="009136DD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5.Налог на прибыль: - 783,179 тыс. руб.</w:t>
      </w:r>
    </w:p>
    <w:p w14:paraId="72E97023" w14:textId="77777777" w:rsidR="00565CFE" w:rsidRPr="009136DD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В результате расчета экспертной группой уменьшены затраты на сумму 1,252 тыс. руб., в том числе:</w:t>
      </w:r>
    </w:p>
    <w:p w14:paraId="007FEE19" w14:textId="77777777" w:rsidR="00565CFE" w:rsidRPr="009136DD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- налог на прибыль на сумму 0,251 тыс. руб.</w:t>
      </w:r>
    </w:p>
    <w:p w14:paraId="46DDE077" w14:textId="77777777" w:rsidR="00565CFE" w:rsidRPr="009136DD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- внереализационные расходы на сумму 1,001 тыс. руб.</w:t>
      </w:r>
    </w:p>
    <w:p w14:paraId="48F91597" w14:textId="77777777" w:rsidR="00565CFE" w:rsidRDefault="00565CFE" w:rsidP="0059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D">
        <w:rPr>
          <w:rFonts w:ascii="Times New Roman" w:hAnsi="Times New Roman" w:cs="Times New Roman"/>
          <w:sz w:val="24"/>
          <w:szCs w:val="24"/>
        </w:rPr>
        <w:t>Расчет платы за подключение (технологическое присоединение) объекта Заявителя</w:t>
      </w:r>
      <w:r w:rsidR="009136DD">
        <w:rPr>
          <w:rFonts w:ascii="Times New Roman" w:hAnsi="Times New Roman" w:cs="Times New Roman"/>
          <w:sz w:val="24"/>
          <w:szCs w:val="24"/>
        </w:rPr>
        <w:t>:</w:t>
      </w:r>
    </w:p>
    <w:p w14:paraId="16BE176D" w14:textId="77777777" w:rsidR="009136DD" w:rsidRPr="009136DD" w:rsidRDefault="009136DD" w:rsidP="00565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3119"/>
        <w:gridCol w:w="709"/>
        <w:gridCol w:w="992"/>
        <w:gridCol w:w="850"/>
        <w:gridCol w:w="851"/>
        <w:gridCol w:w="850"/>
        <w:gridCol w:w="851"/>
        <w:gridCol w:w="850"/>
      </w:tblGrid>
      <w:tr w:rsidR="00565CFE" w:rsidRPr="009136DD" w14:paraId="0D988789" w14:textId="77777777" w:rsidTr="0059497B">
        <w:trPr>
          <w:trHeight w:val="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4B6" w14:textId="77777777" w:rsidR="00565CFE" w:rsidRPr="009136DD" w:rsidRDefault="00565CFE" w:rsidP="009136DD">
            <w:pPr>
              <w:spacing w:after="0" w:line="240" w:lineRule="auto"/>
              <w:ind w:left="-6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21DE" w14:textId="77777777" w:rsidR="00565CFE" w:rsidRPr="009136DD" w:rsidRDefault="00565CFE" w:rsidP="003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A85" w14:textId="77777777" w:rsidR="00565CFE" w:rsidRPr="009136DD" w:rsidRDefault="00565CFE" w:rsidP="009136DD">
            <w:pPr>
              <w:spacing w:after="0" w:line="240" w:lineRule="auto"/>
              <w:ind w:left="-119" w:right="-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  <w:r w:rsid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94FD" w14:textId="77777777" w:rsidR="00565CFE" w:rsidRPr="009136DD" w:rsidRDefault="00565CFE" w:rsidP="009136D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6B20" w14:textId="77777777" w:rsidR="00565CFE" w:rsidRPr="009136DD" w:rsidRDefault="00565CFE" w:rsidP="009136DD">
            <w:pPr>
              <w:spacing w:after="0" w:line="240" w:lineRule="auto"/>
              <w:ind w:left="-76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93D3" w14:textId="77777777" w:rsidR="009136DD" w:rsidRDefault="00565CFE" w:rsidP="009136DD">
            <w:pPr>
              <w:spacing w:after="0" w:line="240" w:lineRule="auto"/>
              <w:ind w:left="-8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  <w:r w:rsid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696E065" w14:textId="77777777" w:rsidR="00565CFE" w:rsidRPr="009136DD" w:rsidRDefault="00565CFE" w:rsidP="009136DD">
            <w:pPr>
              <w:spacing w:after="0" w:line="240" w:lineRule="auto"/>
              <w:ind w:left="-8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(п.5-п.4)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34E4" w14:textId="77777777" w:rsidR="00565CFE" w:rsidRPr="009136DD" w:rsidRDefault="00565CFE" w:rsidP="009136DD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предприятия 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037E" w14:textId="77777777" w:rsidR="00565CFE" w:rsidRPr="009136DD" w:rsidRDefault="00565CFE" w:rsidP="009136DD">
            <w:pPr>
              <w:spacing w:after="0" w:line="240" w:lineRule="auto"/>
              <w:ind w:left="-8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экспертов 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CB7F" w14:textId="77777777" w:rsidR="00565CFE" w:rsidRPr="009136DD" w:rsidRDefault="00565CFE" w:rsidP="009136DD">
            <w:pPr>
              <w:spacing w:after="0" w:line="240" w:lineRule="auto"/>
              <w:ind w:left="-8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  <w:p w14:paraId="03B68EFF" w14:textId="77777777" w:rsidR="00565CFE" w:rsidRPr="009136DD" w:rsidRDefault="00565CFE" w:rsidP="009136DD">
            <w:pPr>
              <w:spacing w:after="0" w:line="240" w:lineRule="auto"/>
              <w:ind w:left="-8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(п.8-п.7)</w:t>
            </w:r>
          </w:p>
        </w:tc>
      </w:tr>
      <w:tr w:rsidR="009136DD" w:rsidRPr="009136DD" w14:paraId="3E4C2685" w14:textId="77777777" w:rsidTr="0059497B">
        <w:trPr>
          <w:trHeight w:val="5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3D68" w14:textId="77777777" w:rsidR="00565CFE" w:rsidRPr="009136DD" w:rsidRDefault="00565CFE" w:rsidP="009136DD">
            <w:pPr>
              <w:spacing w:after="0" w:line="240" w:lineRule="auto"/>
              <w:ind w:left="-6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7FD1" w14:textId="77777777" w:rsidR="00565CFE" w:rsidRPr="009136DD" w:rsidRDefault="00565CFE" w:rsidP="003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683D" w14:textId="77777777" w:rsidR="00565CFE" w:rsidRPr="009136DD" w:rsidRDefault="00565CFE" w:rsidP="009136DD">
            <w:pPr>
              <w:spacing w:after="0" w:line="240" w:lineRule="auto"/>
              <w:ind w:left="-119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DAE7" w14:textId="77777777" w:rsidR="00565CFE" w:rsidRPr="009136DD" w:rsidRDefault="00565CFE" w:rsidP="009136D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BBBD" w14:textId="77777777" w:rsidR="00565CFE" w:rsidRPr="009136DD" w:rsidRDefault="00565CFE" w:rsidP="009136DD">
            <w:pPr>
              <w:spacing w:after="0" w:line="240" w:lineRule="auto"/>
              <w:ind w:left="-76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2A30" w14:textId="77777777" w:rsidR="00565CFE" w:rsidRPr="009136DD" w:rsidRDefault="00565CFE" w:rsidP="009136DD">
            <w:pPr>
              <w:spacing w:after="0" w:line="240" w:lineRule="auto"/>
              <w:ind w:left="-8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35D4" w14:textId="77777777" w:rsidR="00565CFE" w:rsidRPr="009136DD" w:rsidRDefault="00565CFE" w:rsidP="009136DD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B6F2" w14:textId="77777777" w:rsidR="00565CFE" w:rsidRPr="009136DD" w:rsidRDefault="00565CFE" w:rsidP="009136DD">
            <w:pPr>
              <w:spacing w:after="0" w:line="240" w:lineRule="auto"/>
              <w:ind w:left="-8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2CD7" w14:textId="77777777" w:rsidR="00565CFE" w:rsidRPr="009136DD" w:rsidRDefault="00565CFE" w:rsidP="009136DD">
            <w:pPr>
              <w:spacing w:after="0" w:line="240" w:lineRule="auto"/>
              <w:ind w:left="-8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136DD" w:rsidRPr="009136DD" w14:paraId="27CD71DA" w14:textId="77777777" w:rsidTr="0059497B">
        <w:trPr>
          <w:trHeight w:val="5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A42C" w14:textId="77777777" w:rsidR="00565CFE" w:rsidRPr="009136DD" w:rsidRDefault="00565CFE" w:rsidP="009136DD">
            <w:pPr>
              <w:spacing w:after="0" w:line="240" w:lineRule="auto"/>
              <w:ind w:left="-6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D605" w14:textId="77777777" w:rsidR="00565CFE" w:rsidRPr="009136DD" w:rsidRDefault="00565CFE" w:rsidP="0030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B53D6" w14:textId="77777777" w:rsidR="00565CFE" w:rsidRPr="009136DD" w:rsidRDefault="00565CFE" w:rsidP="009136DD">
            <w:pPr>
              <w:spacing w:after="0" w:line="240" w:lineRule="auto"/>
              <w:ind w:left="-119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5C004C" w14:textId="77777777" w:rsidR="00565CFE" w:rsidRPr="009136DD" w:rsidRDefault="00565CFE" w:rsidP="009136D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44F5C" w14:textId="77777777" w:rsidR="00565CFE" w:rsidRPr="009136DD" w:rsidRDefault="00565CFE" w:rsidP="009136DD">
            <w:pPr>
              <w:spacing w:after="0" w:line="240" w:lineRule="auto"/>
              <w:ind w:left="-76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537B0" w14:textId="77777777" w:rsidR="00565CFE" w:rsidRPr="009136DD" w:rsidRDefault="00565CFE" w:rsidP="009136DD">
            <w:pPr>
              <w:spacing w:after="0" w:line="240" w:lineRule="auto"/>
              <w:ind w:left="-8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- 867,820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964EC7" w14:textId="77777777" w:rsidR="00565CFE" w:rsidRPr="009136DD" w:rsidRDefault="00565CFE" w:rsidP="009136DD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8FB18" w14:textId="77777777" w:rsidR="00565CFE" w:rsidRPr="009136DD" w:rsidRDefault="00565CFE" w:rsidP="009136DD">
            <w:pPr>
              <w:spacing w:after="0" w:line="240" w:lineRule="auto"/>
              <w:ind w:left="-8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5670,560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5702F" w14:textId="77777777" w:rsidR="00565CFE" w:rsidRPr="009136DD" w:rsidRDefault="00565CFE" w:rsidP="009136DD">
            <w:pPr>
              <w:spacing w:after="0" w:line="240" w:lineRule="auto"/>
              <w:ind w:left="-8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- 845,241</w:t>
            </w:r>
          </w:p>
        </w:tc>
      </w:tr>
      <w:tr w:rsidR="009136DD" w:rsidRPr="009136DD" w14:paraId="570BBC0B" w14:textId="77777777" w:rsidTr="0059497B">
        <w:trPr>
          <w:trHeight w:val="5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57A36" w14:textId="77777777" w:rsidR="00565CFE" w:rsidRPr="009136DD" w:rsidRDefault="00565CFE" w:rsidP="009136DD">
            <w:pPr>
              <w:spacing w:after="0" w:line="240" w:lineRule="auto"/>
              <w:ind w:left="-6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1E10" w14:textId="77777777" w:rsidR="00565CFE" w:rsidRPr="009136DD" w:rsidRDefault="00565CFE" w:rsidP="0030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451B6" w14:textId="77777777" w:rsidR="00565CFE" w:rsidRPr="009136DD" w:rsidRDefault="00565CFE" w:rsidP="009136DD">
            <w:pPr>
              <w:spacing w:after="0" w:line="240" w:lineRule="auto"/>
              <w:ind w:left="-119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F7D5F" w14:textId="77777777" w:rsidR="00565CFE" w:rsidRPr="009136DD" w:rsidRDefault="00565CFE" w:rsidP="009136D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97F93" w14:textId="77777777" w:rsidR="00565CFE" w:rsidRPr="009136DD" w:rsidRDefault="00565CFE" w:rsidP="009136DD">
            <w:pPr>
              <w:spacing w:after="0" w:line="240" w:lineRule="auto"/>
              <w:ind w:left="-76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010FB" w14:textId="77777777" w:rsidR="00565CFE" w:rsidRPr="009136DD" w:rsidRDefault="00565CFE" w:rsidP="009136DD">
            <w:pPr>
              <w:spacing w:after="0" w:line="240" w:lineRule="auto"/>
              <w:ind w:left="-8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- 692,908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83A35" w14:textId="77777777" w:rsidR="00565CFE" w:rsidRPr="009136DD" w:rsidRDefault="00565CFE" w:rsidP="009136DD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5219,212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DF8F8" w14:textId="77777777" w:rsidR="00565CFE" w:rsidRPr="009136DD" w:rsidRDefault="00565CFE" w:rsidP="009136DD">
            <w:pPr>
              <w:spacing w:after="0" w:line="240" w:lineRule="auto"/>
              <w:ind w:left="-8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4546,256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50348" w14:textId="77777777" w:rsidR="00565CFE" w:rsidRPr="009136DD" w:rsidRDefault="00565CFE" w:rsidP="009136DD">
            <w:pPr>
              <w:spacing w:after="0" w:line="240" w:lineRule="auto"/>
              <w:ind w:left="-8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- 672,956</w:t>
            </w:r>
          </w:p>
        </w:tc>
      </w:tr>
      <w:tr w:rsidR="00565CFE" w:rsidRPr="009136DD" w14:paraId="04061B41" w14:textId="77777777" w:rsidTr="0059497B">
        <w:trPr>
          <w:trHeight w:val="5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9D87F" w14:textId="77777777" w:rsidR="00565CFE" w:rsidRPr="009136DD" w:rsidRDefault="00565CFE" w:rsidP="009136DD">
            <w:pPr>
              <w:spacing w:after="0" w:line="240" w:lineRule="auto"/>
              <w:ind w:left="-6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6C8E" w14:textId="77777777" w:rsidR="00565CFE" w:rsidRPr="009136DD" w:rsidRDefault="00565CFE" w:rsidP="0030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7D7E" w14:textId="77777777" w:rsidR="00565CFE" w:rsidRPr="009136DD" w:rsidRDefault="00565CFE" w:rsidP="009136DD">
            <w:pPr>
              <w:spacing w:after="0" w:line="240" w:lineRule="auto"/>
              <w:ind w:left="-119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338EC" w14:textId="77777777" w:rsidR="00565CFE" w:rsidRPr="009136DD" w:rsidRDefault="00565CFE" w:rsidP="009136D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B69CF" w14:textId="77777777" w:rsidR="00565CFE" w:rsidRPr="009136DD" w:rsidRDefault="00565CFE" w:rsidP="009136DD">
            <w:pPr>
              <w:spacing w:after="0" w:line="240" w:lineRule="auto"/>
              <w:ind w:left="-76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70D41" w14:textId="77777777" w:rsidR="00565CFE" w:rsidRPr="009136DD" w:rsidRDefault="00565CFE" w:rsidP="009136DD">
            <w:pPr>
              <w:spacing w:after="0" w:line="240" w:lineRule="auto"/>
              <w:ind w:left="-8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45565" w14:textId="77777777" w:rsidR="00565CFE" w:rsidRPr="009136DD" w:rsidRDefault="00565CFE" w:rsidP="009136DD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CFB48" w14:textId="77777777" w:rsidR="00565CFE" w:rsidRPr="009136DD" w:rsidRDefault="00565CFE" w:rsidP="009136DD">
            <w:pPr>
              <w:spacing w:after="0" w:line="240" w:lineRule="auto"/>
              <w:ind w:left="-8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0A8BD" w14:textId="77777777" w:rsidR="00565CFE" w:rsidRPr="009136DD" w:rsidRDefault="00565CFE" w:rsidP="009136DD">
            <w:pPr>
              <w:spacing w:after="0" w:line="240" w:lineRule="auto"/>
              <w:ind w:left="-8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- 3,236</w:t>
            </w:r>
          </w:p>
        </w:tc>
      </w:tr>
      <w:tr w:rsidR="00565CFE" w:rsidRPr="009136DD" w14:paraId="7F0CFFA2" w14:textId="77777777" w:rsidTr="0059497B">
        <w:trPr>
          <w:trHeight w:val="5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02FC0" w14:textId="77777777" w:rsidR="00565CFE" w:rsidRPr="009136DD" w:rsidRDefault="00565CFE" w:rsidP="009136DD">
            <w:pPr>
              <w:spacing w:after="0" w:line="240" w:lineRule="auto"/>
              <w:ind w:left="-6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039" w14:textId="77777777" w:rsidR="00565CFE" w:rsidRPr="009136DD" w:rsidRDefault="00565CFE" w:rsidP="0030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услуги банков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AADC5" w14:textId="77777777" w:rsidR="00565CFE" w:rsidRPr="009136DD" w:rsidRDefault="00565CFE" w:rsidP="009136DD">
            <w:pPr>
              <w:spacing w:after="0" w:line="240" w:lineRule="auto"/>
              <w:ind w:left="-119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927D8" w14:textId="77777777" w:rsidR="00565CFE" w:rsidRPr="009136DD" w:rsidRDefault="00565CFE" w:rsidP="009136D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7C0A" w14:textId="77777777" w:rsidR="00565CFE" w:rsidRPr="009136DD" w:rsidRDefault="00565CFE" w:rsidP="009136DD">
            <w:pPr>
              <w:spacing w:after="0" w:line="240" w:lineRule="auto"/>
              <w:ind w:left="-76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34C4" w14:textId="77777777" w:rsidR="00565CFE" w:rsidRPr="009136DD" w:rsidRDefault="00565CFE" w:rsidP="009136DD">
            <w:pPr>
              <w:spacing w:after="0" w:line="240" w:lineRule="auto"/>
              <w:ind w:left="-8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638B2" w14:textId="77777777" w:rsidR="00565CFE" w:rsidRPr="009136DD" w:rsidRDefault="00565CFE" w:rsidP="009136DD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9B0F2" w14:textId="77777777" w:rsidR="00565CFE" w:rsidRPr="009136DD" w:rsidRDefault="00565CFE" w:rsidP="009136DD">
            <w:pPr>
              <w:spacing w:after="0" w:line="240" w:lineRule="auto"/>
              <w:ind w:left="-8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61B2A" w14:textId="77777777" w:rsidR="00565CFE" w:rsidRPr="009136DD" w:rsidRDefault="00565CFE" w:rsidP="009136DD">
            <w:pPr>
              <w:spacing w:after="0" w:line="240" w:lineRule="auto"/>
              <w:ind w:left="-8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5CFE" w:rsidRPr="009136DD" w14:paraId="27658EE9" w14:textId="77777777" w:rsidTr="0059497B">
        <w:trPr>
          <w:trHeight w:val="26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E0D7" w14:textId="77777777" w:rsidR="00565CFE" w:rsidRPr="009136DD" w:rsidRDefault="00565CFE" w:rsidP="009136DD">
            <w:pPr>
              <w:spacing w:after="0" w:line="240" w:lineRule="auto"/>
              <w:ind w:left="-6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5CAB" w14:textId="77777777" w:rsidR="00565CFE" w:rsidRPr="009136DD" w:rsidRDefault="00565CFE" w:rsidP="0030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4C750" w14:textId="77777777" w:rsidR="00565CFE" w:rsidRPr="009136DD" w:rsidRDefault="00565CFE" w:rsidP="009136DD">
            <w:pPr>
              <w:spacing w:after="0" w:line="240" w:lineRule="auto"/>
              <w:ind w:left="-119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F34EE" w14:textId="77777777" w:rsidR="00565CFE" w:rsidRPr="009136DD" w:rsidRDefault="00565CFE" w:rsidP="009136DD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D">
              <w:rPr>
                <w:rFonts w:ascii="Times New Roman" w:hAnsi="Times New Roman" w:cs="Times New Roman"/>
                <w:sz w:val="20"/>
                <w:szCs w:val="20"/>
              </w:rPr>
              <w:t>1,348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E8BBE" w14:textId="77777777" w:rsidR="00565CFE" w:rsidRPr="009136DD" w:rsidRDefault="00565CFE" w:rsidP="009136DD">
            <w:pPr>
              <w:spacing w:after="0" w:line="240" w:lineRule="auto"/>
              <w:ind w:left="-76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3C679" w14:textId="77777777" w:rsidR="00565CFE" w:rsidRPr="009136DD" w:rsidRDefault="00565CFE" w:rsidP="009136DD">
            <w:pPr>
              <w:spacing w:after="0" w:line="240" w:lineRule="auto"/>
              <w:ind w:left="-8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F09C" w14:textId="77777777" w:rsidR="00565CFE" w:rsidRPr="009136DD" w:rsidRDefault="00565CFE" w:rsidP="009136DD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9D03" w14:textId="77777777" w:rsidR="00565CFE" w:rsidRPr="009136DD" w:rsidRDefault="00565CFE" w:rsidP="009136DD">
            <w:pPr>
              <w:spacing w:after="0" w:line="240" w:lineRule="auto"/>
              <w:ind w:left="-8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C5E2C" w14:textId="77777777" w:rsidR="00565CFE" w:rsidRPr="009136DD" w:rsidRDefault="00565CFE" w:rsidP="009136DD">
            <w:pPr>
              <w:spacing w:after="0" w:line="240" w:lineRule="auto"/>
              <w:ind w:left="-82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CFE" w:rsidRPr="009136DD" w14:paraId="6359F9B6" w14:textId="77777777" w:rsidTr="0059497B">
        <w:trPr>
          <w:trHeight w:val="5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83AB6" w14:textId="77777777" w:rsidR="00565CFE" w:rsidRPr="009136DD" w:rsidRDefault="00565CFE" w:rsidP="009136DD">
            <w:pPr>
              <w:spacing w:after="0" w:line="240" w:lineRule="auto"/>
              <w:ind w:left="-6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4F8D" w14:textId="77777777" w:rsidR="00565CFE" w:rsidRPr="009136DD" w:rsidRDefault="00565CFE" w:rsidP="0030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5C2BD" w14:textId="77777777" w:rsidR="00565CFE" w:rsidRPr="009136DD" w:rsidRDefault="00565CFE" w:rsidP="009136DD">
            <w:pPr>
              <w:spacing w:after="0" w:line="240" w:lineRule="auto"/>
              <w:ind w:left="-119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C9CA" w14:textId="77777777" w:rsidR="00565CFE" w:rsidRPr="009136DD" w:rsidRDefault="00565CFE" w:rsidP="009136D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3168" w14:textId="77777777" w:rsidR="00565CFE" w:rsidRPr="009136DD" w:rsidRDefault="00565CFE" w:rsidP="009136DD">
            <w:pPr>
              <w:spacing w:after="0" w:line="240" w:lineRule="auto"/>
              <w:ind w:left="-76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2599E" w14:textId="77777777" w:rsidR="00565CFE" w:rsidRPr="009136DD" w:rsidRDefault="00565CFE" w:rsidP="009136DD">
            <w:pPr>
              <w:spacing w:after="0" w:line="240" w:lineRule="auto"/>
              <w:ind w:left="-80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- 173,564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DF89" w14:textId="77777777" w:rsidR="00565CFE" w:rsidRPr="009136DD" w:rsidRDefault="00565CFE" w:rsidP="009136DD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1305,612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05C25" w14:textId="77777777" w:rsidR="00565CFE" w:rsidRPr="009136DD" w:rsidRDefault="00565CFE" w:rsidP="009136DD">
            <w:pPr>
              <w:spacing w:after="0" w:line="240" w:lineRule="auto"/>
              <w:ind w:left="-8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B4F5" w14:textId="77777777" w:rsidR="00565CFE" w:rsidRPr="009136DD" w:rsidRDefault="00565CFE" w:rsidP="009136DD">
            <w:pPr>
              <w:spacing w:after="0" w:line="240" w:lineRule="auto"/>
              <w:ind w:left="-8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- 169,049</w:t>
            </w:r>
          </w:p>
        </w:tc>
      </w:tr>
    </w:tbl>
    <w:p w14:paraId="21660C91" w14:textId="77777777" w:rsidR="00785CD9" w:rsidRDefault="00785CD9" w:rsidP="00565CFE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CDABBD" w14:textId="2D0E8737" w:rsidR="00565CFE" w:rsidRPr="00565CFE" w:rsidRDefault="00565CFE" w:rsidP="0078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lastRenderedPageBreak/>
        <w:t>Расходы предприятия на уплату процентов по кредиту не включены в расчет платы за подключение по следующим основаниям:</w:t>
      </w:r>
    </w:p>
    <w:p w14:paraId="2642255D" w14:textId="77777777" w:rsidR="00565CFE" w:rsidRPr="00565CFE" w:rsidRDefault="00565CFE" w:rsidP="00785C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>Представленный расчет потребности в кредитных ресурсах, привлечение которых необходимо для нивелирования рисков, связанных с недобором средств на финансирование (в связи с поэтапным внесением платы за подключение по договору на подключение: 35% - в течение 15 дней с даты заключения договора на подключение, 50% - в течение 90 дней с даты заключения договора на подключение, 15% - 15 дней с даты подписания акта о подключении) показывает, что при его расчете  учтен график производства работ до   декабря до 2021 года.</w:t>
      </w:r>
    </w:p>
    <w:p w14:paraId="52A020FF" w14:textId="77777777" w:rsidR="00565CFE" w:rsidRPr="00565CFE" w:rsidRDefault="00565CFE" w:rsidP="0078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Согласно пояснениям организации, расчетом предусмотрено кредитование (овердрафт) ООО банк «Элита» с годовой процентной ставкой 10 %. Общий срок кредитования – 12 месяцев. Представленным расчетом предусмотрено кредитование в течение двух последних месяцев. При этом, согласно п.2 (строка 19) расчета, организация не имеет кредитных привлечений для целей реализации инвестиционной программы. </w:t>
      </w:r>
    </w:p>
    <w:p w14:paraId="641ECA06" w14:textId="62B16BCD" w:rsidR="00565CFE" w:rsidRPr="00565CFE" w:rsidRDefault="00565CFE" w:rsidP="00785C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При определении кассовых разрывов в расходы не обосновано отнесены расходы на оплату налога на прибыль в течение всего периода производства работ, т.к. выручкой от продаж услуг технологического присоединения, согласно порядку </w:t>
      </w:r>
      <w:r w:rsidR="00921579" w:rsidRPr="00565CFE">
        <w:rPr>
          <w:rFonts w:ascii="Times New Roman" w:hAnsi="Times New Roman" w:cs="Times New Roman"/>
          <w:sz w:val="24"/>
          <w:szCs w:val="24"/>
        </w:rPr>
        <w:t>признания выручки,</w:t>
      </w:r>
      <w:r w:rsidRPr="00565CFE">
        <w:rPr>
          <w:rFonts w:ascii="Times New Roman" w:hAnsi="Times New Roman" w:cs="Times New Roman"/>
          <w:sz w:val="24"/>
          <w:szCs w:val="24"/>
        </w:rPr>
        <w:t xml:space="preserve"> указанному в учетной политике предприятия, могут признаваться доходы при наличии подписанного со стороны заявителя акта технологического подключения.</w:t>
      </w:r>
    </w:p>
    <w:p w14:paraId="40AC3967" w14:textId="77777777" w:rsidR="00785CD9" w:rsidRDefault="00565CFE" w:rsidP="00B823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D9">
        <w:rPr>
          <w:rFonts w:ascii="Times New Roman" w:hAnsi="Times New Roman" w:cs="Times New Roman"/>
          <w:sz w:val="24"/>
          <w:szCs w:val="24"/>
        </w:rPr>
        <w:t>При определении чистого денежного потока суммы вносимой платы, согласно платежному графику, определены не верно (% от суммы капитальный вложений, а не расчетной платы по договору).</w:t>
      </w:r>
    </w:p>
    <w:p w14:paraId="0B083B62" w14:textId="79D377EA" w:rsidR="00565CFE" w:rsidRPr="00785CD9" w:rsidRDefault="00565CFE" w:rsidP="00B823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CD9">
        <w:rPr>
          <w:rFonts w:ascii="Times New Roman" w:hAnsi="Times New Roman" w:cs="Times New Roman"/>
          <w:sz w:val="24"/>
          <w:szCs w:val="24"/>
        </w:rPr>
        <w:t>Комиссии 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ПИР», расположенного по адресу: «Калужская область, г. Калуга, ул. Вишневского, д.1» по индивидуальному проекту ГКУ КО «Управление капитального строительства», в размере:</w:t>
      </w:r>
    </w:p>
    <w:p w14:paraId="55DAD320" w14:textId="10F2027F" w:rsidR="00565CFE" w:rsidRPr="00565CFE" w:rsidRDefault="00921579" w:rsidP="0078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565CFE" w:rsidRPr="00565CFE">
        <w:rPr>
          <w:rFonts w:ascii="Times New Roman" w:hAnsi="Times New Roman" w:cs="Times New Roman"/>
          <w:sz w:val="24"/>
          <w:szCs w:val="24"/>
        </w:rPr>
        <w:t>олодное водоснабжение – 629,779 тыс. руб. (без НДС)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E25920" w14:textId="238EB256" w:rsidR="00565CFE" w:rsidRPr="00565CFE" w:rsidRDefault="00921579" w:rsidP="0078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65CFE" w:rsidRPr="00565CFE">
        <w:rPr>
          <w:rFonts w:ascii="Times New Roman" w:hAnsi="Times New Roman" w:cs="Times New Roman"/>
          <w:sz w:val="24"/>
          <w:szCs w:val="24"/>
        </w:rPr>
        <w:t>одоотведение – 5682,815 тыс. руб. (без НДС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820D0B" w14:textId="77777777" w:rsidR="00B43D3D" w:rsidRDefault="00B43D3D" w:rsidP="0078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21301DA7" w14:textId="77777777" w:rsidR="0059497B" w:rsidRDefault="004A36BB" w:rsidP="0078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9D">
        <w:rPr>
          <w:rFonts w:ascii="Times New Roman" w:hAnsi="Times New Roman" w:cs="Times New Roman"/>
          <w:b/>
          <w:sz w:val="24"/>
          <w:szCs w:val="24"/>
        </w:rPr>
        <w:t xml:space="preserve">Выступили представители </w:t>
      </w:r>
      <w:r w:rsidR="00921579" w:rsidRPr="00921579">
        <w:rPr>
          <w:rFonts w:ascii="Times New Roman" w:hAnsi="Times New Roman" w:cs="Times New Roman"/>
          <w:b/>
          <w:sz w:val="24"/>
          <w:szCs w:val="24"/>
        </w:rPr>
        <w:t>Г</w:t>
      </w:r>
      <w:r w:rsidR="00921579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921579" w:rsidRPr="00921579">
        <w:rPr>
          <w:rFonts w:ascii="Times New Roman" w:hAnsi="Times New Roman" w:cs="Times New Roman"/>
          <w:b/>
          <w:sz w:val="24"/>
          <w:szCs w:val="24"/>
        </w:rPr>
        <w:t>Калужской области «Калугаоблводоканал»</w:t>
      </w:r>
      <w:r w:rsidR="00594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A673F08" w14:textId="77777777" w:rsidR="0059497B" w:rsidRDefault="0059497B" w:rsidP="0078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C89F3" w14:textId="45F40121" w:rsidR="004A36BB" w:rsidRPr="003E539D" w:rsidRDefault="004A36BB" w:rsidP="0078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3E539D">
        <w:rPr>
          <w:rFonts w:ascii="Times New Roman" w:hAnsi="Times New Roman" w:cs="Times New Roman"/>
          <w:bCs/>
          <w:sz w:val="24"/>
          <w:szCs w:val="24"/>
        </w:rPr>
        <w:t xml:space="preserve">Представители </w:t>
      </w:r>
      <w:r w:rsidR="0059497B" w:rsidRPr="0059497B">
        <w:rPr>
          <w:rFonts w:ascii="Times New Roman" w:hAnsi="Times New Roman" w:cs="Times New Roman"/>
          <w:bCs/>
          <w:sz w:val="24"/>
          <w:szCs w:val="24"/>
        </w:rPr>
        <w:t>ГП Калужской области «Калугаоблводоканал</w:t>
      </w:r>
      <w:r w:rsidR="0059497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E539D">
        <w:rPr>
          <w:rFonts w:ascii="Times New Roman" w:hAnsi="Times New Roman" w:cs="Times New Roman"/>
          <w:bCs/>
          <w:sz w:val="24"/>
          <w:szCs w:val="24"/>
        </w:rPr>
        <w:t xml:space="preserve">заявили свои </w:t>
      </w:r>
      <w:r w:rsidR="00DE7386">
        <w:rPr>
          <w:rFonts w:ascii="Times New Roman" w:hAnsi="Times New Roman" w:cs="Times New Roman"/>
          <w:bCs/>
          <w:sz w:val="24"/>
          <w:szCs w:val="24"/>
        </w:rPr>
        <w:t xml:space="preserve">разногласия по </w:t>
      </w:r>
      <w:r w:rsidR="0059497B">
        <w:rPr>
          <w:rFonts w:ascii="Times New Roman" w:hAnsi="Times New Roman" w:cs="Times New Roman"/>
          <w:bCs/>
          <w:sz w:val="24"/>
          <w:szCs w:val="24"/>
        </w:rPr>
        <w:t xml:space="preserve">предложенному размеру </w:t>
      </w:r>
      <w:r w:rsidR="00DE7386">
        <w:rPr>
          <w:rFonts w:ascii="Times New Roman" w:hAnsi="Times New Roman" w:cs="Times New Roman"/>
          <w:bCs/>
          <w:sz w:val="24"/>
          <w:szCs w:val="24"/>
        </w:rPr>
        <w:t xml:space="preserve">платы за подключение к централизованной системе водоснабжения и водоотведения в индивидуальном порядке ГП «Калугаоблводоканал» объекта капитального строительства: «Строительство лечебно-диагностического корпуса ГБУЗ КО «Калужский областной онкологический диспансер» в том числе ПИР», расположенного по адресу: «Калужская область, г. Калуга, ул. Вишневского, д.1 по индивидуальному проекту ГКУ КО «Управление капитального строительства» </w:t>
      </w:r>
      <w:r w:rsidR="0059497B">
        <w:rPr>
          <w:rFonts w:ascii="Times New Roman" w:hAnsi="Times New Roman" w:cs="Times New Roman"/>
          <w:bCs/>
          <w:sz w:val="24"/>
          <w:szCs w:val="24"/>
        </w:rPr>
        <w:t xml:space="preserve">и приложили их в </w:t>
      </w:r>
      <w:r w:rsidRPr="003E539D">
        <w:rPr>
          <w:rFonts w:ascii="Times New Roman" w:hAnsi="Times New Roman" w:cs="Times New Roman"/>
          <w:bCs/>
          <w:sz w:val="24"/>
          <w:szCs w:val="24"/>
        </w:rPr>
        <w:t>письменном виде (</w:t>
      </w:r>
      <w:r w:rsidR="00115DD0">
        <w:rPr>
          <w:rFonts w:ascii="Times New Roman" w:hAnsi="Times New Roman" w:cs="Times New Roman"/>
          <w:bCs/>
          <w:sz w:val="24"/>
          <w:szCs w:val="24"/>
        </w:rPr>
        <w:t xml:space="preserve">заявление о разногласиях </w:t>
      </w:r>
      <w:r w:rsidR="001957FE">
        <w:rPr>
          <w:rFonts w:ascii="Times New Roman" w:hAnsi="Times New Roman" w:cs="Times New Roman"/>
          <w:bCs/>
          <w:sz w:val="24"/>
          <w:szCs w:val="24"/>
        </w:rPr>
        <w:t xml:space="preserve">исх.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E7386">
        <w:rPr>
          <w:rFonts w:ascii="Times New Roman" w:hAnsi="Times New Roman" w:cs="Times New Roman"/>
          <w:bCs/>
          <w:sz w:val="24"/>
          <w:szCs w:val="24"/>
        </w:rPr>
        <w:t>4252-19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E7386">
        <w:rPr>
          <w:rFonts w:ascii="Times New Roman" w:hAnsi="Times New Roman" w:cs="Times New Roman"/>
          <w:bCs/>
          <w:sz w:val="24"/>
          <w:szCs w:val="24"/>
        </w:rPr>
        <w:t>15.06.2020</w:t>
      </w:r>
      <w:r w:rsidRPr="003E539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4F52225" w14:textId="77777777" w:rsidR="00B43D3D" w:rsidRDefault="00B43D3D" w:rsidP="0078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4B2BAA60" w14:textId="77777777" w:rsidR="00CE3430" w:rsidRDefault="00BE28CB" w:rsidP="00785CD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653402E8" w14:textId="6D629AF2" w:rsidR="00BE28CB" w:rsidRPr="00DE59BC" w:rsidRDefault="00BE28CB" w:rsidP="00785CD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BC">
        <w:rPr>
          <w:rFonts w:ascii="Times New Roman" w:eastAsia="Times New Roman" w:hAnsi="Times New Roman" w:cs="Times New Roman"/>
          <w:sz w:val="24"/>
          <w:szCs w:val="24"/>
        </w:rPr>
        <w:t>Перенести вышеуказанны</w:t>
      </w:r>
      <w:r w:rsidR="004A36B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E59BC">
        <w:rPr>
          <w:rFonts w:ascii="Times New Roman" w:eastAsia="Times New Roman" w:hAnsi="Times New Roman" w:cs="Times New Roman"/>
          <w:sz w:val="24"/>
          <w:szCs w:val="24"/>
        </w:rPr>
        <w:t xml:space="preserve"> вопрос для </w:t>
      </w:r>
      <w:r w:rsidR="004A36B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E59BC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по существу на заседание комиссии по тарифам и ценам </w:t>
      </w:r>
      <w:r w:rsidR="0059497B">
        <w:rPr>
          <w:rFonts w:ascii="Times New Roman" w:eastAsia="Times New Roman" w:hAnsi="Times New Roman" w:cs="Times New Roman"/>
          <w:sz w:val="24"/>
          <w:szCs w:val="24"/>
        </w:rPr>
        <w:t xml:space="preserve">в 14 час. 30 мин. </w:t>
      </w:r>
      <w:r w:rsidR="004A36BB">
        <w:rPr>
          <w:rFonts w:ascii="Times New Roman" w:eastAsia="Times New Roman" w:hAnsi="Times New Roman" w:cs="Times New Roman"/>
          <w:sz w:val="24"/>
          <w:szCs w:val="24"/>
        </w:rPr>
        <w:t>19.06.2020</w:t>
      </w:r>
      <w:r w:rsidRPr="00DE5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607CEA" w14:textId="77777777" w:rsidR="00BE28CB" w:rsidRDefault="00BE28CB" w:rsidP="00785CD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4CF6F" w14:textId="77777777" w:rsidR="00E46A31" w:rsidRPr="00413D3D" w:rsidRDefault="00E46A31" w:rsidP="00785CD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D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855B02" w:rsidRPr="00413D3D">
        <w:rPr>
          <w:rFonts w:ascii="Times New Roman" w:hAnsi="Times New Roman" w:cs="Times New Roman"/>
          <w:b/>
          <w:sz w:val="24"/>
          <w:szCs w:val="24"/>
        </w:rPr>
        <w:t>в протокольной форме,</w:t>
      </w:r>
      <w:r w:rsidRPr="00413D3D">
        <w:rPr>
          <w:rFonts w:ascii="Times New Roman" w:hAnsi="Times New Roman" w:cs="Times New Roman"/>
          <w:b/>
          <w:sz w:val="24"/>
          <w:szCs w:val="24"/>
        </w:rPr>
        <w:t xml:space="preserve"> голосовали единогласно.</w:t>
      </w:r>
    </w:p>
    <w:p w14:paraId="2CB6B888" w14:textId="77777777" w:rsidR="00E46A31" w:rsidRDefault="00E46A31" w:rsidP="00785CD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1FFC3" w14:textId="77777777" w:rsidR="004A5A6A" w:rsidRDefault="004A5A6A" w:rsidP="00785CD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DCB2F" w14:textId="77777777" w:rsidR="004A5A6A" w:rsidRPr="004A5A6A" w:rsidRDefault="004A5A6A" w:rsidP="0078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53F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A6A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Pr="004A5A6A">
        <w:rPr>
          <w:rFonts w:ascii="Times New Roman" w:eastAsia="Calibri" w:hAnsi="Times New Roman" w:cs="Times New Roman"/>
          <w:b/>
          <w:sz w:val="24"/>
          <w:szCs w:val="24"/>
        </w:rPr>
        <w:t>в индивидуальном порядке</w:t>
      </w:r>
      <w:r w:rsidRPr="004A5A6A">
        <w:rPr>
          <w:rFonts w:ascii="Times New Roman" w:hAnsi="Times New Roman" w:cs="Times New Roman"/>
          <w:b/>
          <w:sz w:val="24"/>
          <w:szCs w:val="24"/>
        </w:rPr>
        <w:t xml:space="preserve"> размера платы за подключение (технологическое присоединение) к</w:t>
      </w:r>
      <w:r w:rsidR="0022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A6A">
        <w:rPr>
          <w:rFonts w:ascii="Times New Roman" w:hAnsi="Times New Roman" w:cs="Times New Roman"/>
          <w:b/>
          <w:sz w:val="24"/>
          <w:szCs w:val="24"/>
        </w:rPr>
        <w:t>централизованным системам холодного водоснабжения государственного предприятия Калужской области «Калугаоблводоканал» объекта капитального строительства: «Дошкольная образовательная организация в микрорайоне Дубрава г. Калуга», расположенного по адресу: г. Калуга микрорайон Дубрава, по индивидуальному проекту ООО «СТРОЙЦЕНТР»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278A0EA" w14:textId="77777777" w:rsidR="004A5A6A" w:rsidRPr="00106FB9" w:rsidRDefault="004A5A6A" w:rsidP="00785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48C21EDA" w14:textId="5375696C" w:rsidR="004A5A6A" w:rsidRPr="00106FB9" w:rsidRDefault="004A5A6A" w:rsidP="0078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О.А</w:t>
      </w:r>
      <w:r w:rsidR="001B2E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Викторова.</w:t>
      </w:r>
    </w:p>
    <w:p w14:paraId="5A2675F9" w14:textId="77777777" w:rsidR="004A5A6A" w:rsidRDefault="004A5A6A" w:rsidP="00501F75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8B710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предприятия объекта капитального строительства: «Дошкольная образовательная организация в микрорайоне Дубрава г. Калуга» расположенного по адресу: г. Калуга микрорайон Дубрава, по индивидуальному проекту ООО «СТРОЙЦЕНТР» (далее – объект Заявителя) (письмо от 27.05..2020 № 03/2156-20).</w:t>
      </w:r>
    </w:p>
    <w:p w14:paraId="67E39FFA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Суммарная подключаемая нагрузка в точке подключения объекта Заявителя составляет:</w:t>
      </w:r>
    </w:p>
    <w:p w14:paraId="227D1862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- по водопотреблению – 76,8 куб. м в сутки</w:t>
      </w:r>
    </w:p>
    <w:p w14:paraId="341D23EB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Калужской области от 07.06.2017 № 345 «О внесении изменений в постановление Правительства Калужской области от 29.09.2014 № 572 «Об 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5CF7D0AD" w14:textId="77777777" w:rsidR="00501F75" w:rsidRPr="00501F75" w:rsidRDefault="00501F75" w:rsidP="00E7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к централизованной системе холодного водоснабжения 4 482,157 тыс. руб. (без учета НДС):</w:t>
      </w:r>
    </w:p>
    <w:p w14:paraId="2A0D62AD" w14:textId="77777777" w:rsidR="00501F75" w:rsidRPr="00501F75" w:rsidRDefault="00501F75" w:rsidP="00E7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14:paraId="5E8F5AEA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Расчеты на подключение к сетям холодного водоснабжения от объекта Заявителя до точки подключения к существующим централизованным сетям холодного водоснабжения.</w:t>
      </w:r>
    </w:p>
    <w:p w14:paraId="3C9FBB91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Расчеты на строительство сетей холодного водоснабжения.</w:t>
      </w:r>
    </w:p>
    <w:p w14:paraId="56EB8D7B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Расчет расходов на проектные и изыскательские работы (далее – ПИР).</w:t>
      </w:r>
    </w:p>
    <w:p w14:paraId="259F7F6D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Локально - сметные расчеты на строительство сетей холодного водоснабжения.</w:t>
      </w:r>
    </w:p>
    <w:p w14:paraId="72E846F8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1F75">
        <w:rPr>
          <w:rFonts w:ascii="Times New Roman" w:hAnsi="Times New Roman" w:cs="Times New Roman"/>
          <w:sz w:val="24"/>
          <w:szCs w:val="24"/>
        </w:rPr>
        <w:t>кт от 20.05.2020 № 347 технического освидетельствования участка водопроводной/ канализационной сети (далее – акт технического освидетельствования).</w:t>
      </w:r>
    </w:p>
    <w:p w14:paraId="53F79825" w14:textId="77777777" w:rsidR="00501F75" w:rsidRPr="00501F75" w:rsidRDefault="00501F75" w:rsidP="00E7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14:paraId="5C94AD9D" w14:textId="77777777" w:rsidR="00501F75" w:rsidRPr="00501F75" w:rsidRDefault="00501F75" w:rsidP="00501F75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На момент проведения экспертизы расчетов технические условия подключения отсутствуют. </w:t>
      </w:r>
    </w:p>
    <w:p w14:paraId="4ED548A2" w14:textId="77777777" w:rsidR="00501F75" w:rsidRPr="00501F75" w:rsidRDefault="00501F75" w:rsidP="00501F75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 Согласно представленному ГП «Калугаоблводоканал» акту технического освидетельствования участка водопроводной/канализационной сети 20.05.2020 № 347 следует, </w:t>
      </w:r>
      <w:r w:rsidRPr="00501F75">
        <w:rPr>
          <w:rFonts w:ascii="Times New Roman" w:hAnsi="Times New Roman" w:cs="Times New Roman"/>
          <w:sz w:val="24"/>
          <w:szCs w:val="24"/>
        </w:rPr>
        <w:lastRenderedPageBreak/>
        <w:t>что для осуществления подключения (технологического присоединения) объекта капитального строительства заявителя к сетям водоснабжения предприятию необходимо выполнить следующие мероприятия</w:t>
      </w:r>
      <w:r w:rsidRPr="00501F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505E91" w14:textId="77777777" w:rsidR="00501F75" w:rsidRPr="00501F75" w:rsidRDefault="00501F75" w:rsidP="00501F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Водоснабжение:</w:t>
      </w:r>
    </w:p>
    <w:p w14:paraId="1148DA36" w14:textId="77777777" w:rsidR="00501F75" w:rsidRPr="00501F75" w:rsidRDefault="00501F75" w:rsidP="00EA073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Для обеспечения водоснабжения, а также нужд пожаротушения застройки выполнить следующие мероприятия:</w:t>
      </w:r>
    </w:p>
    <w:p w14:paraId="32E814EC" w14:textId="77777777" w:rsidR="00501F75" w:rsidRPr="00501F75" w:rsidRDefault="00501F75" w:rsidP="00501F75">
      <w:pPr>
        <w:tabs>
          <w:tab w:val="left" w:pos="4536"/>
          <w:tab w:val="left" w:pos="623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- строительство водовода Д=225 мм. в две линии, от границы земельного участка до существующего водовода Д=500мм, протяженностью 243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 xml:space="preserve">. каждая линия (486 </w:t>
      </w:r>
      <w:proofErr w:type="spellStart"/>
      <w:r w:rsidRPr="00501F7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01F75">
        <w:rPr>
          <w:rFonts w:ascii="Times New Roman" w:hAnsi="Times New Roman" w:cs="Times New Roman"/>
          <w:sz w:val="24"/>
          <w:szCs w:val="24"/>
        </w:rPr>
        <w:t>. общей протяженности);</w:t>
      </w:r>
    </w:p>
    <w:p w14:paraId="0C776A45" w14:textId="77777777" w:rsidR="00501F75" w:rsidRPr="00501F75" w:rsidRDefault="00501F75" w:rsidP="00501F75">
      <w:pPr>
        <w:tabs>
          <w:tab w:val="left" w:pos="4536"/>
          <w:tab w:val="left" w:pos="623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- при строительстве трубопровода выполнить строительство не менее 4 в/колодцев диаметром 1,5м с установкой запорной арматуры Д=200 мм – 5 шт.  </w:t>
      </w:r>
    </w:p>
    <w:p w14:paraId="5C3485F2" w14:textId="77777777" w:rsidR="00501F75" w:rsidRPr="00501F75" w:rsidRDefault="00501F75" w:rsidP="00501F75">
      <w:pPr>
        <w:tabs>
          <w:tab w:val="left" w:pos="4536"/>
          <w:tab w:val="left" w:pos="623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- в точке подключения на существующем водоводе Д=500мм выполнить строительство в/камеры из ж/б 2*2,5 м с установкой запорной арматуры Д=200 мм – 3 шт., 500 мм – 1 шт.</w:t>
      </w:r>
    </w:p>
    <w:p w14:paraId="66038D8C" w14:textId="77777777" w:rsidR="00501F75" w:rsidRPr="00501F75" w:rsidRDefault="00501F75" w:rsidP="00501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Расчетный объем расходов на осуществление мероприятий по подключению к централизованной системе водоснабжения составил 4 482,157 тыс. руб. (без учета НДС), в том числе:</w:t>
      </w:r>
    </w:p>
    <w:p w14:paraId="315A1EA2" w14:textId="77777777" w:rsidR="00501F75" w:rsidRPr="00501F75" w:rsidRDefault="00EA0732" w:rsidP="00EA07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F75" w:rsidRPr="00501F75">
        <w:rPr>
          <w:rFonts w:ascii="Times New Roman" w:hAnsi="Times New Roman" w:cs="Times New Roman"/>
          <w:sz w:val="24"/>
          <w:szCs w:val="24"/>
        </w:rPr>
        <w:t>Расходов на проектирование и инженерно-геодезические изыскания и государственную экспертизу – 923,34 тыс. руб.</w:t>
      </w:r>
    </w:p>
    <w:p w14:paraId="69560078" w14:textId="77777777" w:rsidR="00501F75" w:rsidRPr="00501F75" w:rsidRDefault="00EA0732" w:rsidP="00EA07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F75" w:rsidRPr="00501F75">
        <w:rPr>
          <w:rFonts w:ascii="Times New Roman" w:hAnsi="Times New Roman" w:cs="Times New Roman"/>
          <w:sz w:val="24"/>
          <w:szCs w:val="24"/>
        </w:rPr>
        <w:t>Расходов на строительство сетей водоснабжения, определенных сметным расчетом согласно сборникам федеральных единичных расценок с учетом применения индекса потребительских цен в размере 1,03 на 2020 г. и 1,037 на 2021 г. (на основании основных параметров прогноза социально-экономического развития на 2020 год и на плановый период 2021 и 2022 гг. Минэкономразвития РФ), в размере 2 476,313 тыс. руб.</w:t>
      </w:r>
    </w:p>
    <w:p w14:paraId="235CF0B5" w14:textId="77777777" w:rsidR="00501F75" w:rsidRPr="00501F75" w:rsidRDefault="00EA0732" w:rsidP="00EA07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F75" w:rsidRPr="00501F75">
        <w:rPr>
          <w:rFonts w:ascii="Times New Roman" w:hAnsi="Times New Roman" w:cs="Times New Roman"/>
          <w:sz w:val="24"/>
          <w:szCs w:val="24"/>
        </w:rPr>
        <w:t xml:space="preserve">Прочие расходы – 182,665 тыс. руб.   </w:t>
      </w:r>
    </w:p>
    <w:p w14:paraId="3F8B25EC" w14:textId="77777777" w:rsidR="00501F75" w:rsidRPr="00501F75" w:rsidRDefault="00EA0732" w:rsidP="00EA07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F75" w:rsidRPr="00501F75">
        <w:rPr>
          <w:rFonts w:ascii="Times New Roman" w:hAnsi="Times New Roman" w:cs="Times New Roman"/>
          <w:sz w:val="24"/>
          <w:szCs w:val="24"/>
        </w:rPr>
        <w:t>Внереализационные расходы – 3,407 тыс. руб.</w:t>
      </w:r>
    </w:p>
    <w:p w14:paraId="583AA43A" w14:textId="77777777" w:rsidR="00501F75" w:rsidRPr="00501F75" w:rsidRDefault="00EA0732" w:rsidP="00501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F75" w:rsidRPr="00501F75">
        <w:rPr>
          <w:rFonts w:ascii="Times New Roman" w:hAnsi="Times New Roman" w:cs="Times New Roman"/>
          <w:sz w:val="24"/>
          <w:szCs w:val="24"/>
        </w:rPr>
        <w:t>Налог на прибыль- 896,431 тыс. руб.</w:t>
      </w:r>
    </w:p>
    <w:p w14:paraId="5CBB2893" w14:textId="77777777" w:rsidR="00501F75" w:rsidRPr="00501F75" w:rsidRDefault="00501F75" w:rsidP="00501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которого:</w:t>
      </w:r>
    </w:p>
    <w:p w14:paraId="131071A3" w14:textId="77777777" w:rsidR="00501F75" w:rsidRPr="00501F75" w:rsidRDefault="00501F75" w:rsidP="00501F75">
      <w:pPr>
        <w:pStyle w:val="Default"/>
        <w:ind w:firstLine="709"/>
        <w:jc w:val="both"/>
        <w:rPr>
          <w:rFonts w:eastAsia="Times New Roman"/>
          <w:color w:val="auto"/>
        </w:rPr>
      </w:pPr>
      <w:r w:rsidRPr="00501F75">
        <w:rPr>
          <w:rFonts w:eastAsia="Times New Roman"/>
        </w:rPr>
        <w:t>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</w:t>
      </w:r>
      <w:r w:rsidRPr="00501F75">
        <w:rPr>
          <w:rFonts w:eastAsia="Times New Roman"/>
          <w:color w:val="auto"/>
        </w:rPr>
        <w:t xml:space="preserve"> 2026,915 тыс. руб. и составит 2455,242 тыс. руб. без учета НДС.</w:t>
      </w:r>
    </w:p>
    <w:p w14:paraId="78E432B5" w14:textId="77777777" w:rsidR="00501F75" w:rsidRPr="00501F75" w:rsidRDefault="00501F75" w:rsidP="00501F75">
      <w:pPr>
        <w:pStyle w:val="Default"/>
        <w:ind w:firstLine="540"/>
        <w:jc w:val="both"/>
        <w:rPr>
          <w:rFonts w:eastAsia="Times New Roman"/>
          <w:color w:val="auto"/>
        </w:rPr>
      </w:pPr>
      <w:r w:rsidRPr="00501F75">
        <w:rPr>
          <w:rFonts w:eastAsia="Times New Roman"/>
          <w:color w:val="auto"/>
        </w:rPr>
        <w:t>По расчету экспертов:</w:t>
      </w:r>
    </w:p>
    <w:p w14:paraId="657A484E" w14:textId="77777777" w:rsidR="00501F75" w:rsidRPr="00501F75" w:rsidRDefault="00501F75" w:rsidP="00501F75">
      <w:pPr>
        <w:pStyle w:val="Default"/>
        <w:ind w:firstLine="540"/>
        <w:jc w:val="both"/>
        <w:rPr>
          <w:rFonts w:eastAsia="Times New Roman"/>
          <w:color w:val="auto"/>
        </w:rPr>
      </w:pPr>
      <w:r w:rsidRPr="00501F75">
        <w:rPr>
          <w:rFonts w:eastAsia="Times New Roman"/>
          <w:color w:val="auto"/>
        </w:rPr>
        <w:t xml:space="preserve">В соответствие пункту 121 Методических указаний, расходы приняты в размере, не превышающем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14:paraId="1F34D099" w14:textId="77777777" w:rsidR="00501F75" w:rsidRPr="00501F75" w:rsidRDefault="00501F75" w:rsidP="00501F75">
      <w:pPr>
        <w:pStyle w:val="Default"/>
        <w:ind w:firstLine="540"/>
        <w:jc w:val="both"/>
        <w:rPr>
          <w:rFonts w:eastAsia="Times New Roman"/>
          <w:color w:val="auto"/>
        </w:rPr>
      </w:pPr>
      <w:r w:rsidRPr="00501F75">
        <w:rPr>
          <w:rFonts w:eastAsia="Times New Roman"/>
          <w:color w:val="auto"/>
        </w:rPr>
        <w:t xml:space="preserve">Для объектов непроизводственного назначения, по которым не установлены укрупненные сметные нормативы, указанные расходы определялись с учетом представленной регулируемой организацией сметной стоимости таких работ. </w:t>
      </w:r>
    </w:p>
    <w:p w14:paraId="48334583" w14:textId="77777777" w:rsidR="00501F75" w:rsidRPr="00501F75" w:rsidRDefault="00501F75" w:rsidP="00501F75">
      <w:pPr>
        <w:pStyle w:val="Default"/>
        <w:ind w:firstLine="540"/>
        <w:jc w:val="both"/>
        <w:rPr>
          <w:rFonts w:eastAsia="Times New Roman"/>
          <w:color w:val="auto"/>
        </w:rPr>
      </w:pPr>
      <w:r w:rsidRPr="00501F75">
        <w:rPr>
          <w:rFonts w:eastAsia="Times New Roman"/>
          <w:color w:val="auto"/>
        </w:rPr>
        <w:t>При этом, показатели НЦС учитывают затраты на оплату труда рабочих и эксплуатацию строительных машин (механизмов), стоимость строительных материальных ресурсов, накладные расходы и сметную прибыль, а также затраты на строительство временных титульных зданий и сооружений (учтенные сметными нормами затрат на строительство временных титульных зданий и сооружений), дополнительные затраты при производстве строительно-монтажных работ в зимнее время (учтенные сметными нормами дополнительных затрат при производстве строительно-монтажных работ в зимнее время), затраты на проектно-изыскательские работы и экспертизу проекта, строительный контроль, резерв средств на непредвиденные работы и затраты.</w:t>
      </w:r>
    </w:p>
    <w:p w14:paraId="71FE9AD0" w14:textId="77777777" w:rsidR="00501F75" w:rsidRPr="00501F75" w:rsidRDefault="00501F75" w:rsidP="00501F75">
      <w:pPr>
        <w:pStyle w:val="Default"/>
        <w:ind w:firstLine="540"/>
        <w:jc w:val="both"/>
        <w:rPr>
          <w:rFonts w:eastAsia="Times New Roman"/>
          <w:color w:val="auto"/>
        </w:rPr>
      </w:pPr>
      <w:r w:rsidRPr="00501F75">
        <w:rPr>
          <w:rFonts w:eastAsia="Times New Roman"/>
          <w:color w:val="auto"/>
        </w:rPr>
        <w:lastRenderedPageBreak/>
        <w:t>Расчет платы на строительство сетей водоснабжения произведен с учетом положений НЦС 81-02-14-2020, Сборник № 14 «Наружные сети водоснабжения и канализации».</w:t>
      </w:r>
    </w:p>
    <w:p w14:paraId="4F8610CD" w14:textId="77777777" w:rsidR="00501F75" w:rsidRPr="00501F75" w:rsidRDefault="00501F75" w:rsidP="00501F75">
      <w:pPr>
        <w:pStyle w:val="Default"/>
        <w:ind w:firstLine="709"/>
        <w:jc w:val="both"/>
        <w:rPr>
          <w:rFonts w:eastAsia="Times New Roman"/>
          <w:color w:val="auto"/>
        </w:rPr>
      </w:pPr>
      <w:r w:rsidRPr="00501F75">
        <w:rPr>
          <w:rFonts w:eastAsia="Times New Roman"/>
          <w:color w:val="auto"/>
        </w:rPr>
        <w:t>Расчет платы за подключение (технологическое присоединение) объекта Заявителя</w:t>
      </w:r>
      <w:r>
        <w:rPr>
          <w:rFonts w:eastAsia="Times New Roman"/>
          <w:color w:val="auto"/>
        </w:rPr>
        <w:t>:</w:t>
      </w:r>
    </w:p>
    <w:p w14:paraId="653F7065" w14:textId="77777777" w:rsidR="00501F75" w:rsidRPr="00501F75" w:rsidRDefault="00501F75" w:rsidP="00501F75">
      <w:pPr>
        <w:pStyle w:val="Default"/>
        <w:jc w:val="right"/>
        <w:rPr>
          <w:rFonts w:eastAsia="Times New Roman"/>
          <w:color w:val="auto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6"/>
        <w:gridCol w:w="3996"/>
        <w:gridCol w:w="929"/>
        <w:gridCol w:w="1307"/>
        <w:gridCol w:w="1418"/>
        <w:gridCol w:w="1247"/>
      </w:tblGrid>
      <w:tr w:rsidR="00501F75" w:rsidRPr="00501F75" w14:paraId="57E6BA99" w14:textId="77777777" w:rsidTr="00EA0732">
        <w:trPr>
          <w:trHeight w:val="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D06C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9123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8D49" w14:textId="77777777" w:rsidR="00501F75" w:rsidRPr="00501F75" w:rsidRDefault="00501F75" w:rsidP="0050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EB62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DB7A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BF19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  <w:p w14:paraId="4EFCEB96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(п.5-п.4)</w:t>
            </w:r>
          </w:p>
        </w:tc>
      </w:tr>
      <w:tr w:rsidR="00501F75" w:rsidRPr="00501F75" w14:paraId="79A4A3EB" w14:textId="77777777" w:rsidTr="00EA0732">
        <w:trPr>
          <w:trHeight w:val="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6902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3B01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87ED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84E3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C0A0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6A87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01F75" w:rsidRPr="00501F75" w14:paraId="34EE3E75" w14:textId="77777777" w:rsidTr="00EA0732">
        <w:trPr>
          <w:trHeight w:val="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15745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D74B" w14:textId="77777777" w:rsidR="00501F75" w:rsidRPr="00501F75" w:rsidRDefault="00501F75" w:rsidP="0050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9414B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FACD6A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4482,157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71606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2455,242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4DF0F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- 2026,915</w:t>
            </w:r>
          </w:p>
        </w:tc>
      </w:tr>
      <w:tr w:rsidR="00501F75" w:rsidRPr="00501F75" w14:paraId="5A341A91" w14:textId="77777777" w:rsidTr="00EA0732">
        <w:trPr>
          <w:trHeight w:val="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D9A8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E2FD" w14:textId="77777777" w:rsidR="00501F75" w:rsidRPr="00501F75" w:rsidRDefault="00501F75" w:rsidP="0050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0DF65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271D94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3582,318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8238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1964,194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E74CF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- 1618,124</w:t>
            </w:r>
          </w:p>
        </w:tc>
      </w:tr>
      <w:tr w:rsidR="00501F75" w:rsidRPr="00501F75" w14:paraId="78735D3C" w14:textId="77777777" w:rsidTr="00EA0732">
        <w:trPr>
          <w:trHeight w:val="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BFFC6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1344" w14:textId="77777777" w:rsidR="00501F75" w:rsidRPr="00501F75" w:rsidRDefault="00501F75" w:rsidP="0050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FE45B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849EE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90542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B67A2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- 3,407</w:t>
            </w:r>
          </w:p>
        </w:tc>
      </w:tr>
      <w:tr w:rsidR="00501F75" w:rsidRPr="00501F75" w14:paraId="42D4A648" w14:textId="77777777" w:rsidTr="00EA0732">
        <w:trPr>
          <w:trHeight w:val="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CB2A7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FD2" w14:textId="77777777" w:rsidR="00501F75" w:rsidRPr="00501F75" w:rsidRDefault="00501F75" w:rsidP="0050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услуги банков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BEE93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C245E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EF01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CF6CB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1F75" w:rsidRPr="00501F75" w14:paraId="59B4EB2E" w14:textId="77777777" w:rsidTr="00EA0732">
        <w:trPr>
          <w:trHeight w:val="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BFE81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9FB6" w14:textId="77777777" w:rsidR="00501F75" w:rsidRPr="00501F75" w:rsidRDefault="00501F75" w:rsidP="0050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E4E8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5F4F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75">
              <w:rPr>
                <w:rFonts w:ascii="Times New Roman" w:hAnsi="Times New Roman" w:cs="Times New Roman"/>
                <w:sz w:val="20"/>
                <w:szCs w:val="20"/>
              </w:rPr>
              <w:t>3,407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56165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637BB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F75" w:rsidRPr="00501F75" w14:paraId="54B227CF" w14:textId="77777777" w:rsidTr="00EA0732">
        <w:trPr>
          <w:trHeight w:val="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3348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1664" w14:textId="77777777" w:rsidR="00501F75" w:rsidRPr="00501F75" w:rsidRDefault="00501F75" w:rsidP="0050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ACDDF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8D229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322D2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BA769" w14:textId="77777777" w:rsidR="00501F75" w:rsidRPr="00501F75" w:rsidRDefault="00501F75" w:rsidP="0050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- 403,383</w:t>
            </w:r>
          </w:p>
        </w:tc>
      </w:tr>
    </w:tbl>
    <w:p w14:paraId="51AE00AC" w14:textId="77777777" w:rsidR="00501F75" w:rsidRPr="00501F75" w:rsidRDefault="00501F75" w:rsidP="00501F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расчета экспертной группой уменьшены затраты на сумму 2026,915 тыс. руб., в том числе:</w:t>
      </w:r>
    </w:p>
    <w:p w14:paraId="1B5CA379" w14:textId="77777777" w:rsidR="00501F75" w:rsidRPr="00501F75" w:rsidRDefault="00501F75" w:rsidP="00501F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- затраты строительно-монтажные работы, проектно-изыскательские работы и экспертизу проекта</w:t>
      </w:r>
      <w:r w:rsidRPr="00501F75">
        <w:rPr>
          <w:rFonts w:ascii="Times New Roman" w:hAnsi="Times New Roman" w:cs="Times New Roman"/>
          <w:sz w:val="24"/>
          <w:szCs w:val="24"/>
        </w:rPr>
        <w:t xml:space="preserve"> </w:t>
      </w:r>
      <w:r w:rsidRPr="00501F75">
        <w:rPr>
          <w:rFonts w:ascii="Times New Roman" w:eastAsia="Times New Roman" w:hAnsi="Times New Roman" w:cs="Times New Roman"/>
          <w:sz w:val="24"/>
          <w:szCs w:val="24"/>
        </w:rPr>
        <w:t>на сумму 1618,124 тыс. руб.</w:t>
      </w:r>
    </w:p>
    <w:p w14:paraId="4BF81C64" w14:textId="77777777" w:rsidR="00501F75" w:rsidRPr="00501F75" w:rsidRDefault="00501F75" w:rsidP="00501F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- налог на прибыль на сумму 402,895 тыс. руб.</w:t>
      </w:r>
    </w:p>
    <w:p w14:paraId="08661474" w14:textId="77777777" w:rsidR="00501F75" w:rsidRPr="00501F75" w:rsidRDefault="00501F75" w:rsidP="00501F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75">
        <w:rPr>
          <w:rFonts w:ascii="Times New Roman" w:eastAsia="Times New Roman" w:hAnsi="Times New Roman" w:cs="Times New Roman"/>
          <w:sz w:val="24"/>
          <w:szCs w:val="24"/>
        </w:rPr>
        <w:t>- внереализационные расходы на сумму 3,407 тыс. руб.</w:t>
      </w:r>
    </w:p>
    <w:p w14:paraId="4F2B5DBD" w14:textId="77777777" w:rsidR="00501F75" w:rsidRPr="00501F75" w:rsidRDefault="00501F75" w:rsidP="00501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 xml:space="preserve"> Расходы предприятия на уплату процентов по кредиту не включены в расчет платы за подключение по следующим основаниям:</w:t>
      </w:r>
    </w:p>
    <w:p w14:paraId="4DB7ECF5" w14:textId="77777777" w:rsidR="00501F75" w:rsidRPr="00477F6C" w:rsidRDefault="00501F75" w:rsidP="00EA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75">
        <w:rPr>
          <w:rFonts w:ascii="Times New Roman" w:hAnsi="Times New Roman" w:cs="Times New Roman"/>
          <w:sz w:val="24"/>
          <w:szCs w:val="24"/>
        </w:rPr>
        <w:t>Представленный расчет потребности в кредитных ресурсах, привлечение которых необходимо для нивелирования рисков, связанных с недобором средств на финан</w:t>
      </w:r>
      <w:r w:rsidRPr="00477F6C">
        <w:rPr>
          <w:rFonts w:ascii="Times New Roman" w:hAnsi="Times New Roman" w:cs="Times New Roman"/>
          <w:sz w:val="24"/>
          <w:szCs w:val="24"/>
        </w:rPr>
        <w:t>сирование (в связи с поэтапным внесением платы за подключение по договору на подключение: 35% - в течение 15 дней с даты заключения договора на подключение, 50% - в течение 90 дней с даты заключения договора на подключение, 15% - 15 дней с даты подписания акта о подключении) показывает, что при его расчете  учтен график производства работ до декабря до 2021 года.</w:t>
      </w:r>
    </w:p>
    <w:p w14:paraId="240A4FEB" w14:textId="0EAB5D2D" w:rsidR="00501F75" w:rsidRPr="00477F6C" w:rsidRDefault="00501F75" w:rsidP="00477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Согласно пояснениям организации, расчетом предусмотрено кредитование (овердрафт) ООО банк «Элита» с годовой процентной ставкой 10 %. Общий срок кредитования – 12 месяцев. Представленным расчетом предусмотрено кредитование в течение двух последних </w:t>
      </w:r>
      <w:r w:rsidR="00785CD9" w:rsidRPr="00477F6C">
        <w:rPr>
          <w:rFonts w:ascii="Times New Roman" w:hAnsi="Times New Roman" w:cs="Times New Roman"/>
          <w:sz w:val="24"/>
          <w:szCs w:val="24"/>
        </w:rPr>
        <w:t>месяцев.</w:t>
      </w:r>
      <w:r w:rsidRPr="00477F6C">
        <w:rPr>
          <w:rFonts w:ascii="Times New Roman" w:hAnsi="Times New Roman" w:cs="Times New Roman"/>
          <w:sz w:val="24"/>
          <w:szCs w:val="24"/>
        </w:rPr>
        <w:t xml:space="preserve"> При этом, согласно п.2 (строка 19) расчета, организация не имеет кредитных привлечений для целей реализации инвестиционной программы. </w:t>
      </w:r>
    </w:p>
    <w:p w14:paraId="3AA8A6D7" w14:textId="77777777" w:rsidR="00501F75" w:rsidRPr="00477F6C" w:rsidRDefault="00501F75" w:rsidP="00EA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При определении кассовых разрывов в расходы не обосновано отнесены расходы на оплату налога на прибыль в течение всего периода производства работ, т.к. выручкой от продаж услуг технологического присоединения, согласно порядку </w:t>
      </w:r>
      <w:r w:rsidR="004E3452" w:rsidRPr="00477F6C">
        <w:rPr>
          <w:rFonts w:ascii="Times New Roman" w:hAnsi="Times New Roman" w:cs="Times New Roman"/>
          <w:sz w:val="24"/>
          <w:szCs w:val="24"/>
        </w:rPr>
        <w:t>признания выручки,</w:t>
      </w:r>
      <w:r w:rsidRPr="00477F6C">
        <w:rPr>
          <w:rFonts w:ascii="Times New Roman" w:hAnsi="Times New Roman" w:cs="Times New Roman"/>
          <w:sz w:val="24"/>
          <w:szCs w:val="24"/>
        </w:rPr>
        <w:t xml:space="preserve"> указанному в учетной политике предприятия, могут признаваться доходы при наличии подписанного со стороны заявителя акта технологического подключения.</w:t>
      </w:r>
    </w:p>
    <w:p w14:paraId="73154FFB" w14:textId="77777777" w:rsidR="00501F75" w:rsidRPr="00477F6C" w:rsidRDefault="00501F75" w:rsidP="00EA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При определении чистого денежного потока суммы вносимой платы, согласно платежному графику, определены не верно (% от суммы капитальный вложений, а не расчетной платы по договору). </w:t>
      </w:r>
    </w:p>
    <w:p w14:paraId="086A7140" w14:textId="5ADB1449" w:rsidR="00501F75" w:rsidRPr="00477F6C" w:rsidRDefault="00501F75" w:rsidP="00477F6C">
      <w:pPr>
        <w:widowControl w:val="0"/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>Комиссии 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</w:t>
      </w:r>
      <w:r w:rsidR="00785CD9">
        <w:rPr>
          <w:rFonts w:ascii="Times New Roman" w:hAnsi="Times New Roman" w:cs="Times New Roman"/>
          <w:sz w:val="24"/>
          <w:szCs w:val="24"/>
        </w:rPr>
        <w:t xml:space="preserve"> г</w:t>
      </w:r>
      <w:r w:rsidRPr="00477F6C">
        <w:rPr>
          <w:rFonts w:ascii="Times New Roman" w:hAnsi="Times New Roman" w:cs="Times New Roman"/>
          <w:sz w:val="24"/>
          <w:szCs w:val="24"/>
        </w:rPr>
        <w:t>осударственного предприятия Калужской области «Калугаоблводоканал» объекта капитального строительства: «Дошкольная образовательная организация в микрорайоне Дубрава г. Калуга» расположенного по адресу: г. Калуга микрорайон Дубрава, по индивидуальному проекту ООО «СТРОЙЦЕНТР», в размере</w:t>
      </w:r>
      <w:r w:rsidR="00785CD9">
        <w:rPr>
          <w:rFonts w:ascii="Times New Roman" w:hAnsi="Times New Roman" w:cs="Times New Roman"/>
          <w:sz w:val="24"/>
          <w:szCs w:val="24"/>
        </w:rPr>
        <w:t xml:space="preserve"> </w:t>
      </w:r>
      <w:r w:rsidRPr="00477F6C">
        <w:rPr>
          <w:rFonts w:ascii="Times New Roman" w:hAnsi="Times New Roman" w:cs="Times New Roman"/>
          <w:sz w:val="24"/>
          <w:szCs w:val="24"/>
        </w:rPr>
        <w:t xml:space="preserve">2455,242 тыс. руб. (без </w:t>
      </w:r>
      <w:r w:rsidR="001B2E62">
        <w:rPr>
          <w:rFonts w:ascii="Times New Roman" w:hAnsi="Times New Roman" w:cs="Times New Roman"/>
          <w:sz w:val="24"/>
          <w:szCs w:val="24"/>
        </w:rPr>
        <w:t xml:space="preserve">учёта </w:t>
      </w:r>
      <w:r w:rsidRPr="00477F6C">
        <w:rPr>
          <w:rFonts w:ascii="Times New Roman" w:hAnsi="Times New Roman" w:cs="Times New Roman"/>
          <w:sz w:val="24"/>
          <w:szCs w:val="24"/>
        </w:rPr>
        <w:t>НДС)</w:t>
      </w:r>
      <w:r w:rsidR="001B2E62">
        <w:rPr>
          <w:rFonts w:ascii="Times New Roman" w:hAnsi="Times New Roman" w:cs="Times New Roman"/>
          <w:sz w:val="24"/>
          <w:szCs w:val="24"/>
        </w:rPr>
        <w:t>.</w:t>
      </w:r>
    </w:p>
    <w:p w14:paraId="76875001" w14:textId="77777777" w:rsidR="004A5A6A" w:rsidRPr="00477F6C" w:rsidRDefault="004A5A6A" w:rsidP="00477F6C">
      <w:pPr>
        <w:pStyle w:val="a5"/>
        <w:tabs>
          <w:tab w:val="left" w:pos="720"/>
          <w:tab w:val="left" w:pos="1418"/>
        </w:tabs>
        <w:spacing w:after="0" w:line="240" w:lineRule="auto"/>
        <w:ind w:left="60" w:right="142" w:firstLine="649"/>
        <w:jc w:val="both"/>
        <w:rPr>
          <w:rFonts w:ascii="Times New Roman" w:hAnsi="Times New Roman" w:cs="Times New Roman"/>
          <w:sz w:val="24"/>
          <w:szCs w:val="24"/>
        </w:rPr>
      </w:pPr>
    </w:p>
    <w:p w14:paraId="40153990" w14:textId="77777777" w:rsidR="004A5A6A" w:rsidRPr="00477F6C" w:rsidRDefault="004A5A6A" w:rsidP="00477F6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94E2541" w14:textId="7D11139B" w:rsidR="00804502" w:rsidRPr="00477F6C" w:rsidRDefault="00804502" w:rsidP="00477F6C">
      <w:pPr>
        <w:tabs>
          <w:tab w:val="num" w:pos="426"/>
          <w:tab w:val="left" w:pos="10205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lastRenderedPageBreak/>
        <w:t>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«Дошкольная образовательная организация в микрорайоне Дубрава г. Калуга», расположенного по адресу: г. Калуга, микрорайон Дубрава, по индивидуальному проекту ООО «СТРОЙЦЕНТР», в размере 2455,242 тыс. руб. (без уч</w:t>
      </w:r>
      <w:r w:rsidR="001B2E62">
        <w:rPr>
          <w:rFonts w:ascii="Times New Roman" w:hAnsi="Times New Roman" w:cs="Times New Roman"/>
          <w:sz w:val="24"/>
          <w:szCs w:val="24"/>
        </w:rPr>
        <w:t>ё</w:t>
      </w:r>
      <w:r w:rsidRPr="00477F6C">
        <w:rPr>
          <w:rFonts w:ascii="Times New Roman" w:hAnsi="Times New Roman" w:cs="Times New Roman"/>
          <w:sz w:val="24"/>
          <w:szCs w:val="24"/>
        </w:rPr>
        <w:t>та НДС).</w:t>
      </w:r>
    </w:p>
    <w:p w14:paraId="15F7DD39" w14:textId="77777777" w:rsidR="004A5A6A" w:rsidRPr="00477F6C" w:rsidRDefault="004A5A6A" w:rsidP="00477F6C">
      <w:pPr>
        <w:tabs>
          <w:tab w:val="left" w:pos="720"/>
          <w:tab w:val="left" w:pos="1418"/>
        </w:tabs>
        <w:spacing w:after="0" w:line="240" w:lineRule="auto"/>
        <w:ind w:left="60" w:firstLine="6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EE866F" w14:textId="77777777" w:rsidR="004A5A6A" w:rsidRPr="00302464" w:rsidRDefault="004A5A6A" w:rsidP="00477F6C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</w:t>
      </w:r>
      <w:r w:rsidR="00501F75"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10.06.2020 </w:t>
      </w:r>
      <w:r w:rsidR="00EA0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804502" w:rsidRPr="00302464">
        <w:rPr>
          <w:rFonts w:ascii="Times New Roman" w:hAnsi="Times New Roman"/>
          <w:b/>
          <w:bCs/>
          <w:sz w:val="24"/>
          <w:szCs w:val="24"/>
        </w:rPr>
        <w:t>05.06.2020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форме приказа (прилагается), голосовали единогласно.  </w:t>
      </w:r>
    </w:p>
    <w:p w14:paraId="39A8290A" w14:textId="77777777" w:rsidR="004A5A6A" w:rsidRPr="00477F6C" w:rsidRDefault="004A5A6A" w:rsidP="00477F6C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B40E0" w14:textId="77777777" w:rsidR="00AC647F" w:rsidRPr="00477F6C" w:rsidRDefault="00AC647F" w:rsidP="00477F6C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4757E" w14:textId="77777777" w:rsidR="00AC647F" w:rsidRPr="00227A18" w:rsidRDefault="00AC647F" w:rsidP="001B2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94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77F6C" w:rsidRPr="005D094A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477F6C" w:rsidRPr="00227A1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</w:t>
      </w:r>
      <w:bookmarkStart w:id="3" w:name="_Hlk42005192"/>
      <w:r w:rsidR="00477F6C" w:rsidRPr="00227A18">
        <w:rPr>
          <w:rFonts w:ascii="Times New Roman" w:hAnsi="Times New Roman" w:cs="Times New Roman"/>
          <w:b/>
          <w:bCs/>
          <w:sz w:val="24"/>
          <w:szCs w:val="24"/>
        </w:rPr>
        <w:t xml:space="preserve">платы за технологическое присоединение к электрическим сетям ПАО «МРСК Центра и Приволжья» филиал «Калугаэнерго» энергопринимающих устройств общества с ограниченной ответственностью «Первый завод» на уровне напряжения не ниже 35 </w:t>
      </w:r>
      <w:proofErr w:type="spellStart"/>
      <w:r w:rsidR="00477F6C" w:rsidRPr="00227A18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="00477F6C" w:rsidRPr="00227A18">
        <w:rPr>
          <w:rFonts w:ascii="Times New Roman" w:hAnsi="Times New Roman" w:cs="Times New Roman"/>
          <w:b/>
          <w:bCs/>
          <w:sz w:val="24"/>
          <w:szCs w:val="24"/>
        </w:rPr>
        <w:t xml:space="preserve"> и максимальной мощности энергопринимающих устройств не менее 8 900 кВт, расположенных по адресу:</w:t>
      </w:r>
      <w:r w:rsidR="00477F6C" w:rsidRPr="00227A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7F6C" w:rsidRPr="00227A18">
        <w:rPr>
          <w:rFonts w:ascii="Times New Roman" w:hAnsi="Times New Roman" w:cs="Times New Roman"/>
          <w:b/>
          <w:bCs/>
          <w:sz w:val="24"/>
          <w:szCs w:val="24"/>
        </w:rPr>
        <w:t>Калужская область, Дзержинский район, поселок Полотняный завод, территория ООО «Первый завод» на земельном участке</w:t>
      </w:r>
      <w:r w:rsidR="00EA07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77F6C" w:rsidRPr="00227A18">
        <w:rPr>
          <w:rFonts w:ascii="Times New Roman" w:hAnsi="Times New Roman" w:cs="Times New Roman"/>
          <w:b/>
          <w:bCs/>
          <w:sz w:val="24"/>
          <w:szCs w:val="24"/>
        </w:rPr>
        <w:t xml:space="preserve"> с кадастровым номером 40:04:211501:4</w:t>
      </w:r>
      <w:bookmarkEnd w:id="3"/>
      <w:r w:rsidR="00477F6C" w:rsidRPr="00227A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8C2B61" w14:textId="77777777" w:rsidR="00AC647F" w:rsidRPr="00477F6C" w:rsidRDefault="00AC647F" w:rsidP="001B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14:paraId="42691975" w14:textId="3ED75086" w:rsidR="00AC647F" w:rsidRPr="005D094A" w:rsidRDefault="00AC647F" w:rsidP="001B2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94A">
        <w:rPr>
          <w:rFonts w:ascii="Times New Roman" w:hAnsi="Times New Roman" w:cs="Times New Roman"/>
          <w:b/>
          <w:bCs/>
          <w:sz w:val="24"/>
          <w:szCs w:val="24"/>
        </w:rPr>
        <w:t>Доложил: О.А</w:t>
      </w:r>
      <w:r w:rsidR="001B2E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94A">
        <w:rPr>
          <w:rFonts w:ascii="Times New Roman" w:hAnsi="Times New Roman" w:cs="Times New Roman"/>
          <w:b/>
          <w:bCs/>
          <w:sz w:val="24"/>
          <w:szCs w:val="24"/>
        </w:rPr>
        <w:t xml:space="preserve"> Викторова.</w:t>
      </w:r>
    </w:p>
    <w:p w14:paraId="55026296" w14:textId="77777777" w:rsidR="004A5A6A" w:rsidRPr="00477F6C" w:rsidRDefault="004A5A6A" w:rsidP="001B2E6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D0076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«Межрегиональная распределительная сетевая компания Центра и Приволжья» филиал «Калугаэнерго» (далее - филиал «Калугаэнерго» или сетевая организация) обратилось с заявлением (исх. № МР7-КаЭ/003-1/7360 от 28.05.2020,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. № 03/2177-20 от 28.05.2020)  об установлении платы за технологическое присоединение к электрическим сетям ПАО «МРСК Центра и Приволжья» филиал «Калугаэнерго» энергопринимающих устройств общества с ограниченной ответственностью «Первый завод» на уровне напряжения не ниже 35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и максимальной мощности энергопринимающих устройств не менее 8 900 кВт, расположенных по адресу: Калужская область, Дзержинский район, поселок Полотняный завод, территория ООО «Первый завод» на земельном участке с кадастровым номером (далее к/н) 40:04:211501:4.</w:t>
      </w:r>
    </w:p>
    <w:p w14:paraId="5757A541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>Основанием для обращения сетевой организации послужила заявка ООО «Первый завод»</w:t>
      </w:r>
      <w:r w:rsidRPr="00477F6C">
        <w:rPr>
          <w:rFonts w:ascii="Times New Roman" w:hAnsi="Times New Roman" w:cs="Times New Roman"/>
          <w:iCs/>
          <w:sz w:val="24"/>
          <w:szCs w:val="24"/>
        </w:rPr>
        <w:t xml:space="preserve"> на технологическое присоединение (увеличение мощности и изменение схемы электроснабжения) к сетям филиала «Калугаэнерго» проектируемых энергопринимающих устройств с максимальной мощностью 19260 кВт (4 660 кВт – существующая, 14 600 кВт – дополнительная) по 1 категории надежности электроснабжения, расположенных по адресу: Калужская область,  Дзержинский район, поселок Полотняный завод, территория ООО «Первый завод» на земельном участке с к/н 40:04:211501:4.</w:t>
      </w:r>
    </w:p>
    <w:p w14:paraId="586B8827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iCs/>
          <w:sz w:val="24"/>
          <w:szCs w:val="24"/>
        </w:rPr>
        <w:t xml:space="preserve">Филиалу «Калугаэнерго», согласно разработанным техническим условиям, с целью технологического присоединения подключаемой нагрузки 19 260 кВт на уровне напряжения 110 </w:t>
      </w:r>
      <w:proofErr w:type="spellStart"/>
      <w:r w:rsidRPr="00477F6C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iCs/>
          <w:sz w:val="24"/>
          <w:szCs w:val="24"/>
        </w:rPr>
        <w:t xml:space="preserve"> по первой категории надежности электроснабжения необходимо выполнить следующие мероприятия «последней мили»:</w:t>
      </w:r>
    </w:p>
    <w:p w14:paraId="30531C55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iCs/>
          <w:sz w:val="24"/>
          <w:szCs w:val="24"/>
        </w:rPr>
        <w:t xml:space="preserve">1) Строительство ЛЭП 110 </w:t>
      </w:r>
      <w:proofErr w:type="spellStart"/>
      <w:r w:rsidRPr="00477F6C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iCs/>
          <w:sz w:val="24"/>
          <w:szCs w:val="24"/>
        </w:rPr>
        <w:t xml:space="preserve"> от ВЛ 110 </w:t>
      </w:r>
      <w:proofErr w:type="spellStart"/>
      <w:r w:rsidRPr="00477F6C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iCs/>
          <w:sz w:val="24"/>
          <w:szCs w:val="24"/>
        </w:rPr>
        <w:t xml:space="preserve"> Спутник – Кондрово с отпайками № 2 (отпайка на ПС 110 </w:t>
      </w:r>
      <w:proofErr w:type="spellStart"/>
      <w:r w:rsidRPr="00477F6C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7F6C">
        <w:rPr>
          <w:rFonts w:ascii="Times New Roman" w:hAnsi="Times New Roman" w:cs="Times New Roman"/>
          <w:iCs/>
          <w:sz w:val="24"/>
          <w:szCs w:val="24"/>
        </w:rPr>
        <w:t>Пятовская</w:t>
      </w:r>
      <w:proofErr w:type="spellEnd"/>
      <w:r w:rsidRPr="00477F6C">
        <w:rPr>
          <w:rFonts w:ascii="Times New Roman" w:hAnsi="Times New Roman" w:cs="Times New Roman"/>
          <w:iCs/>
          <w:sz w:val="24"/>
          <w:szCs w:val="24"/>
        </w:rPr>
        <w:t>, опора № 19) до границ земельного участка Заявителя протяженностью 6,5 км (п. 1.1. ТУ);</w:t>
      </w:r>
    </w:p>
    <w:p w14:paraId="7F72AC63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iCs/>
          <w:sz w:val="24"/>
          <w:szCs w:val="24"/>
        </w:rPr>
        <w:t xml:space="preserve">2) Строительство ЛЭП 110 </w:t>
      </w:r>
      <w:proofErr w:type="spellStart"/>
      <w:r w:rsidRPr="00477F6C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iCs/>
          <w:sz w:val="24"/>
          <w:szCs w:val="24"/>
        </w:rPr>
        <w:t xml:space="preserve"> от ВЛ 110 </w:t>
      </w:r>
      <w:proofErr w:type="spellStart"/>
      <w:r w:rsidRPr="00477F6C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iCs/>
          <w:sz w:val="24"/>
          <w:szCs w:val="24"/>
        </w:rPr>
        <w:t xml:space="preserve"> Спутник – Кондрово с отпайками № 3 (опора № 140) до границ земельного участка Заявителя протяженностью 6,5 км (п. 1.2. ТУ).</w:t>
      </w:r>
    </w:p>
    <w:p w14:paraId="6D4C450D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 </w:t>
      </w:r>
      <w:r w:rsidRPr="00477F6C">
        <w:rPr>
          <w:rFonts w:ascii="Times New Roman" w:hAnsi="Times New Roman" w:cs="Times New Roman"/>
          <w:iCs/>
          <w:sz w:val="24"/>
          <w:szCs w:val="24"/>
        </w:rPr>
        <w:t>Точки присоединения:</w:t>
      </w:r>
    </w:p>
    <w:p w14:paraId="220203ED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- контактные соединения ЛЭП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Заявителя и проектируемой ВЛ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филиала «Калугаэнерго» от ВЛ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Спутник – Кондрово с отпайками № 2 (отпайка на ПС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lastRenderedPageBreak/>
        <w:t>Пятовская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>, опора №19) с максимальной мощностью на I этапе – 0 МВт, на II этапе – 2,5 МВт, на III этапе – 7,3 МВт);</w:t>
      </w:r>
    </w:p>
    <w:p w14:paraId="425D6CD8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- контактные соединения ЛЭП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Заявителя и проектируемой ВЛ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филиала «Калугаэнерго» от ВЛ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Спутник – Кондрово с отпайками № 3 (опора № 140) с максимальной мощностью на I этапе – 0 МВт, на II этапе – 2,5 МВт, на III этапе – 7,3 МВт);</w:t>
      </w:r>
    </w:p>
    <w:p w14:paraId="15257AD4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Учитывая, что у филиала «Калугаэнерго» имеется техническая возможность осуществления данного ТП, а также то, что присоединяемые энергопринимающие устройства имеют максимальную мощность свыше 8 900 кВт (дополнительно присоединяемая  мощность 14 600 кВт) и присоединяются на уровне напряжения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, расчет платы за технологическое присоединение выполнен в соответствии с разделом IV </w:t>
      </w:r>
      <w:bookmarkStart w:id="4" w:name="_Hlk42525103"/>
      <w:r w:rsidRPr="00477F6C">
        <w:rPr>
          <w:rFonts w:ascii="Times New Roman" w:hAnsi="Times New Roman" w:cs="Times New Roman"/>
          <w:sz w:val="24"/>
          <w:szCs w:val="24"/>
        </w:rPr>
        <w:t>Методических указаний № 1135/17</w:t>
      </w:r>
      <w:bookmarkEnd w:id="4"/>
      <w:r w:rsidRPr="00477F6C">
        <w:rPr>
          <w:rFonts w:ascii="Times New Roman" w:hAnsi="Times New Roman" w:cs="Times New Roman"/>
          <w:sz w:val="24"/>
          <w:szCs w:val="24"/>
        </w:rPr>
        <w:t xml:space="preserve">, и определен следующим образом: </w:t>
      </w:r>
    </w:p>
    <w:p w14:paraId="59E5E11E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>П</w:t>
      </w:r>
      <w:r w:rsidRPr="00477F6C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477F6C">
        <w:rPr>
          <w:rFonts w:ascii="Times New Roman" w:hAnsi="Times New Roman" w:cs="Times New Roman"/>
          <w:sz w:val="24"/>
          <w:szCs w:val="24"/>
        </w:rPr>
        <w:t xml:space="preserve"> = Р +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(руб.)</w:t>
      </w:r>
    </w:p>
    <w:p w14:paraId="62FA2E63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 где: </w:t>
      </w:r>
    </w:p>
    <w:p w14:paraId="32D27AC9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>Р = 22 474,61 (руб.) - расходы по организационным мероприятиям, осуществляемым при технологическом присоединении, определяемые на основании ставки С1, утвержденной приказом министерства конкурентной политики Калужской области от 27.12.2019г. № 544-РК, в том числе:</w:t>
      </w:r>
    </w:p>
    <w:p w14:paraId="4FBD3D4C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 - 6728,78 руб. (ставка С 1.1 - подготовка и выдача сетевой организацией технических условий Заявителю);</w:t>
      </w:r>
      <w:r w:rsidRPr="00477F6C">
        <w:rPr>
          <w:rFonts w:ascii="Times New Roman" w:hAnsi="Times New Roman" w:cs="Times New Roman"/>
          <w:sz w:val="24"/>
          <w:szCs w:val="24"/>
        </w:rPr>
        <w:tab/>
      </w:r>
    </w:p>
    <w:p w14:paraId="29E56301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>- 15745,83 руб. (ставка С 1.2 - проверка сетевой организацией выполнения Заявителем технических условий).</w:t>
      </w:r>
      <w:r w:rsidRPr="00477F6C">
        <w:rPr>
          <w:rFonts w:ascii="Times New Roman" w:hAnsi="Times New Roman" w:cs="Times New Roman"/>
          <w:sz w:val="24"/>
          <w:szCs w:val="24"/>
        </w:rPr>
        <w:tab/>
      </w:r>
    </w:p>
    <w:p w14:paraId="6013E166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6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= 13 693 662 x 6,5 = 89 008 803 руб. (без НДС) расходы на строительство участка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двухцепной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ВЛ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протяженностью 6,5 км согласно пунктам 1.1. и 1.2. ТУ, определяемые на основе стандартизированной тарифной ставки С</w:t>
      </w:r>
      <w:r w:rsidRPr="00477F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7F6C">
        <w:rPr>
          <w:rFonts w:ascii="Times New Roman" w:hAnsi="Times New Roman" w:cs="Times New Roman"/>
          <w:sz w:val="24"/>
          <w:szCs w:val="24"/>
        </w:rPr>
        <w:t xml:space="preserve"> на покрытие расходов сетевой организации на строительство воздушных линий электропередачи в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двухцепном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исполнении с установкой опор и сечением жилы до 120 мм</w:t>
      </w:r>
      <w:r w:rsidRPr="00477F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7F6C">
        <w:rPr>
          <w:rFonts w:ascii="Times New Roman" w:hAnsi="Times New Roman" w:cs="Times New Roman"/>
          <w:sz w:val="24"/>
          <w:szCs w:val="24"/>
        </w:rPr>
        <w:t xml:space="preserve"> (включительно) на уровне напряжения 110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в размере 13693662 руб. согласно приказу министерства конкурентной политики Калужской области от 27.12.2019г.  № 544-РК.</w:t>
      </w:r>
    </w:p>
    <w:p w14:paraId="75BADD31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>С учетом прогнозных индексов дефляторов социально-экономического развития Российской Федерации на период до 2024 года по подразделу «Строительство» раздела «Капитальные вложения (инвестиции)» (106,9 – 2021 год, 106,5 - 2022 год) расходы филиала «Калугаэнерго» на выполнение мероприятий "последней мили" (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>) составят:</w:t>
      </w:r>
    </w:p>
    <w:p w14:paraId="1CC4AA85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6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= 0,5 x 89008803 x 1,069 + 0,5 x 89008803 x 1,069 x 1,065 = 98 242 799 руб. (без НДС)</w:t>
      </w:r>
    </w:p>
    <w:p w14:paraId="3FCE84C3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ab/>
        <w:t xml:space="preserve">На основании изложенного, </w:t>
      </w:r>
      <w:bookmarkStart w:id="5" w:name="_Hlk42185171"/>
      <w:r w:rsidRPr="00477F6C"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проектируемых энергопринимающих устройств ООО «Первый завод» </w:t>
      </w:r>
      <w:bookmarkEnd w:id="5"/>
      <w:r w:rsidRPr="00477F6C">
        <w:rPr>
          <w:rFonts w:ascii="Times New Roman" w:hAnsi="Times New Roman" w:cs="Times New Roman"/>
          <w:sz w:val="24"/>
          <w:szCs w:val="24"/>
        </w:rPr>
        <w:t>к электрическим сетям филиала «Калугаэнерго» составляет:</w:t>
      </w:r>
    </w:p>
    <w:p w14:paraId="70C7FB83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Птп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= 22474,61 + 98242799 = </w:t>
      </w:r>
      <w:bookmarkStart w:id="6" w:name="_Hlk42185195"/>
      <w:r w:rsidRPr="00477F6C">
        <w:rPr>
          <w:rFonts w:ascii="Times New Roman" w:hAnsi="Times New Roman" w:cs="Times New Roman"/>
          <w:sz w:val="24"/>
          <w:szCs w:val="24"/>
        </w:rPr>
        <w:t>98 265 273</w:t>
      </w:r>
      <w:bookmarkEnd w:id="6"/>
      <w:r w:rsidRPr="00477F6C">
        <w:rPr>
          <w:rFonts w:ascii="Times New Roman" w:hAnsi="Times New Roman" w:cs="Times New Roman"/>
          <w:sz w:val="24"/>
          <w:szCs w:val="24"/>
        </w:rPr>
        <w:t>,61 руб. (без НДС). Или с учетом правил математического округления – 98 265 274 руб.</w:t>
      </w:r>
    </w:p>
    <w:p w14:paraId="4308C627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 xml:space="preserve">Согласно п. 39. Методических указаний № 1135/17 плата за технологическое присоединение для Заявителей, присоединяющихся к электрическим сетям на уровне напряжения не ниже 35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и максимальной мощности энергопринимающих устройств не менее 8 900 кВт, и объектов по производству электрической энергии, определяется регулирующим органом в соответствии с выданными техническими условиями и устанавливается в тыс. руб.</w:t>
      </w:r>
    </w:p>
    <w:p w14:paraId="42A69FDB" w14:textId="77777777" w:rsidR="00477F6C" w:rsidRPr="00477F6C" w:rsidRDefault="00477F6C" w:rsidP="001B2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обоснованную плату за технологическое присоединение к электрическим сетям ПАО «МРСК Центра и Приволжья» филиал «Калугаэнерго» энергопринимающих устройств общества с ограниченной ответственностью «Первый завод»  в размере 98 265, 274 тыс. руб. (без НДС).</w:t>
      </w:r>
    </w:p>
    <w:p w14:paraId="0D4F7EA9" w14:textId="77777777" w:rsidR="00AC647F" w:rsidRPr="00477F6C" w:rsidRDefault="00AC647F" w:rsidP="001B2E6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AD4AA" w14:textId="77777777" w:rsidR="00477F6C" w:rsidRPr="00477F6C" w:rsidRDefault="00477F6C" w:rsidP="001B2E6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тарифам и ценам министерства конкурентной политики Калужской </w:t>
      </w:r>
      <w:r w:rsidRPr="00477F6C">
        <w:rPr>
          <w:rFonts w:ascii="Times New Roman" w:hAnsi="Times New Roman" w:cs="Times New Roman"/>
          <w:bCs/>
          <w:color w:val="000000"/>
          <w:sz w:val="24"/>
          <w:szCs w:val="24"/>
        </w:rPr>
        <w:t>области РЕШИЛА:</w:t>
      </w:r>
    </w:p>
    <w:p w14:paraId="437D4B3C" w14:textId="29FD035D" w:rsidR="00477F6C" w:rsidRPr="00477F6C" w:rsidRDefault="00477F6C" w:rsidP="001B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плату за технологическое присоединение к электрическим сетям ПАО «МРСК Центра и Приволжья» филиал «Калугаэнерго» энергопринимающих устройств общества с ограниченной ответственностью «Первый завод» на уровне напряжения не ниже 35 </w:t>
      </w:r>
      <w:proofErr w:type="spellStart"/>
      <w:r w:rsidRPr="00477F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6C">
        <w:rPr>
          <w:rFonts w:ascii="Times New Roman" w:hAnsi="Times New Roman" w:cs="Times New Roman"/>
          <w:sz w:val="24"/>
          <w:szCs w:val="24"/>
        </w:rPr>
        <w:t xml:space="preserve"> и максимальной мощности энергопринимающих устройств не менее 8 900 кВт, расположенных по адресу: Калужская область, Дзержинский район, поселок Полотняный завод, территория ООО «Первый завод» на земельном участке с кадастровым номером 40:04:211501:4 в размере</w:t>
      </w:r>
      <w:r w:rsidRPr="0047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F6C">
        <w:rPr>
          <w:rFonts w:ascii="Times New Roman" w:hAnsi="Times New Roman" w:cs="Times New Roman"/>
          <w:bCs/>
          <w:sz w:val="24"/>
          <w:szCs w:val="24"/>
        </w:rPr>
        <w:t>98265,274 тыс. ру</w:t>
      </w:r>
      <w:r w:rsidRPr="00477F6C">
        <w:rPr>
          <w:rFonts w:ascii="Times New Roman" w:hAnsi="Times New Roman" w:cs="Times New Roman"/>
          <w:sz w:val="24"/>
          <w:szCs w:val="24"/>
        </w:rPr>
        <w:t>б. с разбивкой стоимости по каждому мероприятию</w:t>
      </w:r>
      <w:r w:rsidR="001B2E62">
        <w:rPr>
          <w:rFonts w:ascii="Times New Roman" w:hAnsi="Times New Roman" w:cs="Times New Roman"/>
          <w:sz w:val="24"/>
          <w:szCs w:val="24"/>
        </w:rPr>
        <w:t>.</w:t>
      </w:r>
    </w:p>
    <w:p w14:paraId="38BC0F98" w14:textId="77777777" w:rsidR="00AC647F" w:rsidRPr="00477F6C" w:rsidRDefault="00AC647F" w:rsidP="001B2E6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F090C" w14:textId="77777777" w:rsidR="00477F6C" w:rsidRPr="00477F6C" w:rsidRDefault="00477F6C" w:rsidP="00477F6C">
      <w:pPr>
        <w:tabs>
          <w:tab w:val="left" w:pos="720"/>
          <w:tab w:val="left" w:pos="1418"/>
        </w:tabs>
        <w:spacing w:after="0" w:line="240" w:lineRule="auto"/>
        <w:ind w:left="62" w:firstLine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6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и экспертным заключением </w:t>
      </w:r>
      <w:r w:rsidRPr="00477F6C">
        <w:rPr>
          <w:rFonts w:ascii="Times New Roman" w:hAnsi="Times New Roman" w:cs="Times New Roman"/>
          <w:b/>
          <w:sz w:val="24"/>
          <w:szCs w:val="24"/>
        </w:rPr>
        <w:t xml:space="preserve">от 05.06.2020 </w:t>
      </w:r>
      <w:r w:rsidRPr="00477F6C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477F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2FAC822" w14:textId="77777777" w:rsidR="004A5A6A" w:rsidRDefault="004A5A6A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C91B8" w14:textId="77777777" w:rsidR="00173A17" w:rsidRDefault="00173A17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3CD4B" w14:textId="77777777" w:rsidR="001B2E62" w:rsidRDefault="00173A17" w:rsidP="00173A1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</w:t>
      </w:r>
      <w:r w:rsidRPr="00C354CF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вопросов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повестку заседания комиссии по тарифам и ценам министерства конкурентной политики Калужской области 15.06.2020.</w:t>
      </w:r>
    </w:p>
    <w:p w14:paraId="1DCF4A17" w14:textId="01DE1AB6" w:rsidR="00173A17" w:rsidRDefault="001B2E62" w:rsidP="001B2E6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="00173A1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14:paraId="345A0CC7" w14:textId="77777777" w:rsidR="00173A17" w:rsidRDefault="00173A17" w:rsidP="00173A1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Pr="00484B65">
        <w:rPr>
          <w:rFonts w:ascii="Times New Roman" w:eastAsia="Times New Roman" w:hAnsi="Times New Roman" w:cs="Times New Roman"/>
          <w:b/>
          <w:bCs/>
          <w:sz w:val="26"/>
          <w:szCs w:val="26"/>
        </w:rPr>
        <w:t>С.И. Ландухова.</w:t>
      </w:r>
    </w:p>
    <w:p w14:paraId="7DA8FF83" w14:textId="77777777" w:rsidR="00173A17" w:rsidRDefault="00173A17" w:rsidP="00173A1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F40E5" w14:textId="77777777" w:rsidR="00173A17" w:rsidRPr="00AD1278" w:rsidRDefault="00173A17" w:rsidP="001B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78">
        <w:rPr>
          <w:rFonts w:ascii="Times New Roman" w:hAnsi="Times New Roman" w:cs="Times New Roman"/>
          <w:sz w:val="24"/>
          <w:szCs w:val="24"/>
        </w:rPr>
        <w:t>Предлагается рассмотреть на комиссии по тарифам и ценам министерства конкурентной политики Калужской области 15.06.2020 следующие дополнительные вопросы:</w:t>
      </w:r>
    </w:p>
    <w:p w14:paraId="7C497837" w14:textId="77777777" w:rsidR="00173A17" w:rsidRPr="00AD1278" w:rsidRDefault="00173A17" w:rsidP="001B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554"/>
      </w:tblGrid>
      <w:tr w:rsidR="00173A17" w:rsidRPr="001B2E62" w14:paraId="7B4F762E" w14:textId="77777777" w:rsidTr="001B2E62">
        <w:trPr>
          <w:trHeight w:val="72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995CCD2" w14:textId="77777777" w:rsidR="00173A17" w:rsidRPr="001B2E62" w:rsidRDefault="00173A17" w:rsidP="003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81" w:type="dxa"/>
            <w:shd w:val="clear" w:color="auto" w:fill="auto"/>
            <w:vAlign w:val="center"/>
          </w:tcPr>
          <w:p w14:paraId="72DF4B0F" w14:textId="77777777" w:rsidR="00173A17" w:rsidRPr="001B2E62" w:rsidRDefault="00173A17" w:rsidP="003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Наименование рассматриваемого вопроса</w:t>
            </w:r>
          </w:p>
        </w:tc>
      </w:tr>
      <w:tr w:rsidR="00173A17" w:rsidRPr="001B2E62" w14:paraId="79327999" w14:textId="77777777" w:rsidTr="001B2E62">
        <w:trPr>
          <w:trHeight w:val="25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D1B" w14:textId="77777777" w:rsidR="00173A17" w:rsidRPr="001B2E62" w:rsidRDefault="00173A17" w:rsidP="003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4B2A" w14:textId="77777777" w:rsidR="00173A17" w:rsidRPr="001B2E62" w:rsidRDefault="00173A17" w:rsidP="0030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О признании утратившим силу приказа министерства конкурентной политики Калужской  области от 16.12.2019 № 439-РК «Об утверждении производственной программы в сфере водоснабжения и (или) водоотведения для общества с ограниченной ответственностью «Многопрофильное предприятие коммунального хозяйства г. Боровск» на 2020-2024 годы»</w:t>
            </w:r>
          </w:p>
        </w:tc>
      </w:tr>
      <w:tr w:rsidR="00173A17" w:rsidRPr="001B2E62" w14:paraId="4E1555EF" w14:textId="77777777" w:rsidTr="001B2E62">
        <w:trPr>
          <w:trHeight w:val="25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FCA" w14:textId="77777777" w:rsidR="00173A17" w:rsidRPr="001B2E62" w:rsidRDefault="00173A17" w:rsidP="003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0FF0" w14:textId="77777777" w:rsidR="00173A17" w:rsidRPr="001B2E62" w:rsidRDefault="00173A17" w:rsidP="0030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О признании утратившим силу приказа министерства конкурентной политики Калужской области от 16.12.2019 № 440-РК «Об установлении долгосрочных тарифов на водоотведение для общества с ограниченной ответственностью «Многопрофильное предприятие коммунального хозяйства г. Боровск» на 2020-2024 годы»</w:t>
            </w:r>
          </w:p>
        </w:tc>
      </w:tr>
      <w:tr w:rsidR="00173A17" w:rsidRPr="001B2E62" w14:paraId="504DBBFB" w14:textId="77777777" w:rsidTr="001B2E62">
        <w:trPr>
          <w:trHeight w:val="25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9375" w14:textId="77777777" w:rsidR="00173A17" w:rsidRPr="001B2E62" w:rsidRDefault="00173A17" w:rsidP="003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BCFB" w14:textId="77777777" w:rsidR="00173A17" w:rsidRPr="001B2E62" w:rsidRDefault="00173A17" w:rsidP="0030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Об утверждении производственной программы в сфере водоснабжения и (или) водоотведения для общества с ограниченной ответственностью Управляющая компания «Возрождение» на 2020 год</w:t>
            </w:r>
          </w:p>
        </w:tc>
      </w:tr>
      <w:tr w:rsidR="00173A17" w:rsidRPr="001B2E62" w14:paraId="77FB47A7" w14:textId="77777777" w:rsidTr="001B2E62">
        <w:trPr>
          <w:trHeight w:val="25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5B02" w14:textId="77777777" w:rsidR="00173A17" w:rsidRPr="001B2E62" w:rsidRDefault="00173A17" w:rsidP="0030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38DC" w14:textId="77777777" w:rsidR="00173A17" w:rsidRPr="001B2E62" w:rsidRDefault="00173A17" w:rsidP="0030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E62">
              <w:rPr>
                <w:rFonts w:ascii="Times New Roman" w:eastAsia="Times New Roman" w:hAnsi="Times New Roman" w:cs="Times New Roman"/>
              </w:rPr>
              <w:t>Об установлении тарифов на водоотведение для общества с ограниченной ответственностью Управляющая компания «Возрождение» на 2020 год</w:t>
            </w:r>
          </w:p>
        </w:tc>
      </w:tr>
    </w:tbl>
    <w:p w14:paraId="7DF8DC0F" w14:textId="77777777" w:rsidR="00173A17" w:rsidRPr="00AD1278" w:rsidRDefault="00173A17" w:rsidP="001B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F182B" w14:textId="77777777" w:rsidR="00173A17" w:rsidRPr="00AD1278" w:rsidRDefault="00173A17" w:rsidP="001B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78">
        <w:rPr>
          <w:rFonts w:ascii="Times New Roman" w:hAnsi="Times New Roman" w:cs="Times New Roman"/>
          <w:sz w:val="24"/>
          <w:szCs w:val="24"/>
        </w:rPr>
        <w:t>Необходимость рассмотрения вышеуказанных вопросов вызвана исполнением требования Прокуратуры Калужской области об отмене приказа министерства конкурентной политики Калужской области от 16.12.2019 № 440-РК «Об установлении долгосрочных тарифов на водоотведение для общества с ограниченной ответственностью «Многопрофильное предприятие коммунального  хозяйства г. Боровск» на 2020-2024 годы» от 29.05.2020 № 7-15-2020, а также установлением тарифа на водоотведение для общества с ограниченной ответственностью Управляющая компания «Возрождение» на 2020 год.</w:t>
      </w:r>
    </w:p>
    <w:p w14:paraId="76EF1909" w14:textId="77777777" w:rsidR="00173A17" w:rsidRDefault="00173A17" w:rsidP="001B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0724B" w14:textId="77777777" w:rsidR="00173A17" w:rsidRPr="0031458C" w:rsidRDefault="00173A17" w:rsidP="001B2E6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8C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1F4D832F" w14:textId="77777777" w:rsidR="00173A17" w:rsidRPr="0031458C" w:rsidRDefault="00173A17" w:rsidP="001B2E6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8C">
        <w:rPr>
          <w:rFonts w:ascii="Times New Roman" w:eastAsia="Times New Roman" w:hAnsi="Times New Roman" w:cs="Times New Roman"/>
          <w:sz w:val="24"/>
          <w:szCs w:val="24"/>
        </w:rPr>
        <w:t xml:space="preserve">Включить в повестку заседания комиссии по тарифам и ценам </w:t>
      </w:r>
      <w:r>
        <w:rPr>
          <w:rFonts w:ascii="Times New Roman" w:eastAsia="Times New Roman" w:hAnsi="Times New Roman" w:cs="Times New Roman"/>
          <w:sz w:val="24"/>
          <w:szCs w:val="24"/>
        </w:rPr>
        <w:t>15.06.2020</w:t>
      </w:r>
      <w:r w:rsidRPr="00AD1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58C">
        <w:rPr>
          <w:rFonts w:ascii="Times New Roman" w:eastAsia="Times New Roman" w:hAnsi="Times New Roman" w:cs="Times New Roman"/>
          <w:sz w:val="24"/>
          <w:szCs w:val="24"/>
        </w:rPr>
        <w:t>для рассмотрения по существу следующие вопросы:</w:t>
      </w:r>
    </w:p>
    <w:p w14:paraId="7BAE770A" w14:textId="77777777" w:rsidR="00173A17" w:rsidRDefault="00173A17" w:rsidP="001B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9BA15" w14:textId="7B49EF6D" w:rsidR="00173A17" w:rsidRPr="00AE4B59" w:rsidRDefault="00173A17" w:rsidP="001B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B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B59">
        <w:rPr>
          <w:rFonts w:ascii="Times New Roman" w:eastAsia="Times New Roman" w:hAnsi="Times New Roman" w:cs="Times New Roman"/>
          <w:sz w:val="24"/>
          <w:szCs w:val="24"/>
        </w:rPr>
        <w:t>О признании утратившим силу приказа министерства конкурентной политики Калужской  области от 16.12.2019 № 439-РК «Об утверждении производственной программы в сфере водоснабжения и (или) водоотведения для общества с ограниченной ответственностью «Многопрофильное предприятие коммунального хозяйства г. Боровск» на 2020-2024 годы»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04B6C8" w14:textId="5E7310D2" w:rsidR="00173A17" w:rsidRPr="00AE4B59" w:rsidRDefault="00173A17" w:rsidP="001B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B59">
        <w:rPr>
          <w:rFonts w:ascii="Times New Roman" w:eastAsia="Times New Roman" w:hAnsi="Times New Roman" w:cs="Times New Roman"/>
          <w:sz w:val="24"/>
          <w:szCs w:val="24"/>
        </w:rPr>
        <w:t>О признании утратившим силу приказа министерства конкурентной политики   Калужской области от 16.12.2019 № 440-РК «Об установлении долгосрочных тарифов на водоотведение для общества с ограниченной ответственностью «Многопрофильное предприятие коммунального хозяйства г. Боровск» на 2020-2024 годы»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E4F9EF" w14:textId="7F593B9A" w:rsidR="00173A17" w:rsidRPr="00AE4B59" w:rsidRDefault="00173A17" w:rsidP="001B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B59">
        <w:rPr>
          <w:rFonts w:ascii="Times New Roman" w:eastAsia="Times New Roman" w:hAnsi="Times New Roman" w:cs="Times New Roman"/>
          <w:sz w:val="24"/>
          <w:szCs w:val="24"/>
        </w:rPr>
        <w:t>Об утверждении производственной программы в сфере водоснабжения и (или) водоотведения для общества с ограниченной ответственностью Управляющая компания «Возрождение» на 2020 год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553983" w14:textId="1D5071B1" w:rsidR="00173A17" w:rsidRPr="00AE4B59" w:rsidRDefault="00173A17" w:rsidP="001B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B59">
        <w:rPr>
          <w:rFonts w:ascii="Times New Roman" w:eastAsia="Times New Roman" w:hAnsi="Times New Roman" w:cs="Times New Roman"/>
          <w:sz w:val="24"/>
          <w:szCs w:val="24"/>
        </w:rPr>
        <w:t>Об установлении тарифов на водоотведение для общества с ограниченной ответственностью Управляющая компания «Возрождение» на 2020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C41D0" w14:textId="77777777" w:rsidR="00173A17" w:rsidRDefault="00173A17" w:rsidP="00682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59FB5" w14:textId="77777777" w:rsidR="00173A17" w:rsidRPr="00AE4B59" w:rsidRDefault="00173A17" w:rsidP="0068240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B59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</w:t>
      </w:r>
      <w:r w:rsidRPr="00AE4B59">
        <w:rPr>
          <w:rFonts w:ascii="Times New Roman" w:eastAsia="Times New Roman" w:hAnsi="Times New Roman" w:cs="Times New Roman"/>
          <w:b/>
          <w:sz w:val="24"/>
          <w:szCs w:val="24"/>
        </w:rPr>
        <w:t>записк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AE4B5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09.06.2020</w:t>
      </w:r>
      <w:r w:rsidRPr="00AE4B59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протокольной форме, голосовали единогласно.</w:t>
      </w:r>
    </w:p>
    <w:p w14:paraId="068C9FC0" w14:textId="77777777" w:rsidR="00173A17" w:rsidRDefault="00173A17" w:rsidP="00682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936AE" w14:textId="77777777" w:rsidR="00173A17" w:rsidRPr="005839F7" w:rsidRDefault="00173A17" w:rsidP="00682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39850" w14:textId="73721038" w:rsidR="00173A17" w:rsidRPr="00271C74" w:rsidRDefault="00173A17" w:rsidP="0068240A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1C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>О признании утратившим силу приказа министерства конкурентной политики Калужской области от 16.12.2019 № 439-РК «Об утверждении производственной программы в сфере водоснабжения и (или) водоотведения для общества с ограниченной ответственностью «Многопрофильное предприятие коммунального хозяйства г. Боровск» на 2020-2024 годы»</w:t>
      </w:r>
      <w:r w:rsidR="0068240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05C70C82" w14:textId="79E51AD8" w:rsidR="00173A17" w:rsidRPr="00271C74" w:rsidRDefault="00173A17" w:rsidP="0068240A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>О признании утратившим силу приказа министерства конкурентной политики Калужской области от 16.12.2019 № 440-РК «Об установлении долгосрочных тарифов на водоотведение для общества с ограниченной ответственностью «Многопрофильное предприятие коммунального хозяйства г. Боровск» на 2020-2024 годы».</w:t>
      </w:r>
    </w:p>
    <w:p w14:paraId="403789BB" w14:textId="5D33CF4C" w:rsidR="00173A17" w:rsidRPr="00271C74" w:rsidRDefault="00173A17" w:rsidP="006824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7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  <w:r w:rsidR="0068240A">
        <w:rPr>
          <w:rFonts w:ascii="Times New Roman" w:hAnsi="Times New Roman" w:cs="Times New Roman"/>
          <w:b/>
          <w:sz w:val="24"/>
          <w:szCs w:val="24"/>
        </w:rPr>
        <w:t>--</w:t>
      </w:r>
    </w:p>
    <w:p w14:paraId="2DAB8EBF" w14:textId="27A46ECD" w:rsidR="00173A17" w:rsidRPr="00271C74" w:rsidRDefault="00173A17" w:rsidP="006824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C74">
        <w:rPr>
          <w:rFonts w:ascii="Times New Roman" w:hAnsi="Times New Roman" w:cs="Times New Roman"/>
          <w:b/>
          <w:sz w:val="24"/>
          <w:szCs w:val="24"/>
        </w:rPr>
        <w:t>Доложил</w:t>
      </w:r>
      <w:r w:rsidR="0068240A">
        <w:rPr>
          <w:rFonts w:ascii="Times New Roman" w:hAnsi="Times New Roman" w:cs="Times New Roman"/>
          <w:b/>
          <w:sz w:val="24"/>
          <w:szCs w:val="24"/>
        </w:rPr>
        <w:t>и</w:t>
      </w:r>
      <w:r w:rsidRPr="00271C74">
        <w:rPr>
          <w:rFonts w:ascii="Times New Roman" w:hAnsi="Times New Roman" w:cs="Times New Roman"/>
          <w:b/>
          <w:sz w:val="24"/>
          <w:szCs w:val="24"/>
        </w:rPr>
        <w:t>:</w:t>
      </w:r>
      <w:r w:rsidRPr="00271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Е.С. Ташкинова</w:t>
      </w:r>
      <w:r w:rsidRPr="00271C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8FF7A0" w14:textId="77777777" w:rsidR="00173A17" w:rsidRDefault="00173A17" w:rsidP="0068240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007DB" w14:textId="77777777" w:rsidR="00173A17" w:rsidRPr="00271C74" w:rsidRDefault="00173A17" w:rsidP="0068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74">
        <w:rPr>
          <w:rFonts w:ascii="Times New Roman" w:hAnsi="Times New Roman" w:cs="Times New Roman"/>
          <w:sz w:val="24"/>
          <w:szCs w:val="24"/>
        </w:rPr>
        <w:t>Согласно требования Прокуратуры Калужской области обществом с ограниченной ответственностью «Многопрофильное предприятие коммунального хозяйства г. Боровск» (далее – ООО «МПКХ г. Боровск») в составе предложения об установлении тарифов на водоотведение в министерство представлена копия договора коммуникационных сетей от 15.12.2014, заключенного с муниципальным унитарным предприятием «Производственное управление Жилищно-коммунальное хозяйство» МО «Боровский район» (далее – МУП «ПУ ЖКХ»).</w:t>
      </w:r>
    </w:p>
    <w:p w14:paraId="67CA27DC" w14:textId="77777777" w:rsidR="00173A17" w:rsidRPr="00271C74" w:rsidRDefault="00173A17" w:rsidP="0068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74">
        <w:rPr>
          <w:rFonts w:ascii="Times New Roman" w:hAnsi="Times New Roman" w:cs="Times New Roman"/>
          <w:sz w:val="24"/>
          <w:szCs w:val="24"/>
        </w:rPr>
        <w:t>Вместе с тем, конкурсным управляющим МУП «ПУ ЖКХ» 01.02.2019 генеральному директору ООО «МПКХ г. Боровск» направлено уведомление о расторжении договора коммуникационных сетей от 15.12.2014.</w:t>
      </w:r>
    </w:p>
    <w:p w14:paraId="516811D1" w14:textId="77777777" w:rsidR="00173A17" w:rsidRPr="00271C74" w:rsidRDefault="00173A17" w:rsidP="0068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74">
        <w:rPr>
          <w:rFonts w:ascii="Times New Roman" w:hAnsi="Times New Roman" w:cs="Times New Roman"/>
          <w:sz w:val="24"/>
          <w:szCs w:val="24"/>
        </w:rPr>
        <w:t>На основании решения собрания кредиторов МУП «ПУ ЖКХ» от 03.06.2019 с обществом с ограниченной ответственностью Управляющая компания «Возрождение» заключены договора аренды коммуникационных сетей в МО СП «Деревня Кривское».</w:t>
      </w:r>
    </w:p>
    <w:p w14:paraId="25032017" w14:textId="77777777" w:rsidR="0068240A" w:rsidRDefault="00173A17" w:rsidP="0068240A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74">
        <w:rPr>
          <w:rFonts w:ascii="Times New Roman" w:hAnsi="Times New Roman" w:cs="Times New Roman"/>
          <w:sz w:val="24"/>
          <w:szCs w:val="24"/>
        </w:rPr>
        <w:t>Таким образом, на момент утверждения тарифа министерством ООО</w:t>
      </w:r>
      <w:r w:rsidRPr="00271C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1C74">
        <w:rPr>
          <w:rFonts w:ascii="Times New Roman" w:hAnsi="Times New Roman" w:cs="Times New Roman"/>
          <w:sz w:val="24"/>
          <w:szCs w:val="24"/>
        </w:rPr>
        <w:t>«МПКХ г. Боровск» не обладало законными правами владения, пользования и распоряжения в отношении коммуникационных сетей, указанных в договоре от 15.12.2014 и заявленных для осуществления регулируемой деятельности.</w:t>
      </w:r>
    </w:p>
    <w:p w14:paraId="75DD3441" w14:textId="7248C152" w:rsidR="00173A17" w:rsidRPr="00271C74" w:rsidRDefault="00173A17" w:rsidP="0068240A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74">
        <w:rPr>
          <w:rFonts w:ascii="Times New Roman" w:hAnsi="Times New Roman" w:cs="Times New Roman"/>
          <w:sz w:val="24"/>
          <w:szCs w:val="24"/>
        </w:rPr>
        <w:t xml:space="preserve">Предлагается комиссии рассмотреть вопрос </w:t>
      </w:r>
      <w:r w:rsidR="00EA0732" w:rsidRPr="00271C74">
        <w:rPr>
          <w:rFonts w:ascii="Times New Roman" w:hAnsi="Times New Roman" w:cs="Times New Roman"/>
          <w:sz w:val="24"/>
          <w:szCs w:val="24"/>
        </w:rPr>
        <w:t>о признании</w:t>
      </w:r>
      <w:r w:rsidRPr="00271C74">
        <w:rPr>
          <w:rFonts w:ascii="Times New Roman" w:hAnsi="Times New Roman" w:cs="Times New Roman"/>
          <w:sz w:val="24"/>
          <w:szCs w:val="24"/>
        </w:rPr>
        <w:t xml:space="preserve"> утратившими силу</w:t>
      </w:r>
      <w:r w:rsidR="0068240A">
        <w:rPr>
          <w:rFonts w:ascii="Times New Roman" w:hAnsi="Times New Roman" w:cs="Times New Roman"/>
          <w:sz w:val="24"/>
          <w:szCs w:val="24"/>
        </w:rPr>
        <w:t xml:space="preserve"> </w:t>
      </w:r>
      <w:r w:rsidRPr="00271C74">
        <w:rPr>
          <w:rFonts w:ascii="Times New Roman" w:hAnsi="Times New Roman" w:cs="Times New Roman"/>
          <w:sz w:val="24"/>
          <w:szCs w:val="24"/>
        </w:rPr>
        <w:t>вышеуказанных</w:t>
      </w:r>
      <w:r w:rsidR="0068240A">
        <w:rPr>
          <w:rFonts w:ascii="Times New Roman" w:hAnsi="Times New Roman" w:cs="Times New Roman"/>
          <w:sz w:val="24"/>
          <w:szCs w:val="24"/>
        </w:rPr>
        <w:t xml:space="preserve"> </w:t>
      </w:r>
      <w:r w:rsidRPr="00271C74">
        <w:rPr>
          <w:rFonts w:ascii="Times New Roman" w:hAnsi="Times New Roman" w:cs="Times New Roman"/>
          <w:sz w:val="24"/>
          <w:szCs w:val="24"/>
        </w:rPr>
        <w:t>приказов министерства</w:t>
      </w:r>
      <w:r w:rsidR="0068240A">
        <w:rPr>
          <w:rFonts w:ascii="Times New Roman" w:hAnsi="Times New Roman" w:cs="Times New Roman"/>
          <w:sz w:val="24"/>
          <w:szCs w:val="24"/>
        </w:rPr>
        <w:t>.</w:t>
      </w:r>
    </w:p>
    <w:p w14:paraId="422A8C63" w14:textId="77777777" w:rsidR="00173A17" w:rsidRPr="0068240A" w:rsidRDefault="00173A17" w:rsidP="006824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5885A8" w14:textId="77777777" w:rsidR="00173A17" w:rsidRPr="0068240A" w:rsidRDefault="00173A17" w:rsidP="0068240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7" w:name="_Hlk25651659"/>
      <w:r w:rsidRPr="0068240A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00C7A1C" w14:textId="77777777" w:rsidR="00173A17" w:rsidRPr="00271C74" w:rsidRDefault="00173A17" w:rsidP="0068240A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0A">
        <w:rPr>
          <w:rFonts w:ascii="Times New Roman" w:hAnsi="Times New Roman" w:cs="Times New Roman"/>
          <w:bCs/>
          <w:sz w:val="24"/>
          <w:szCs w:val="24"/>
        </w:rPr>
        <w:lastRenderedPageBreak/>
        <w:t>Признать утратившим</w:t>
      </w:r>
      <w:r w:rsidRPr="00271C74">
        <w:rPr>
          <w:rFonts w:ascii="Times New Roman" w:hAnsi="Times New Roman" w:cs="Times New Roman"/>
          <w:sz w:val="24"/>
          <w:szCs w:val="24"/>
        </w:rPr>
        <w:t xml:space="preserve"> силу приказ министерства конкурентной политики Калужской области от 16.12.2019 № 439-РК «Об утверждении производственной программы в сфере водоснабжения и (или) водоотведения для общества с ограниченной ответственностью «Многопрофильное предприятие коммунального хозяйства г. Боровск» на 2020-2024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B57C95" w14:textId="77777777" w:rsidR="00173A17" w:rsidRPr="00271C74" w:rsidRDefault="00173A17" w:rsidP="0068240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74">
        <w:rPr>
          <w:rFonts w:ascii="Times New Roman" w:hAnsi="Times New Roman" w:cs="Times New Roman"/>
          <w:sz w:val="24"/>
          <w:szCs w:val="24"/>
        </w:rPr>
        <w:t>Признать утратившим силу приказ министерства конкурентной политики Калужской области от 16.12.2019 № 440-РК «Об установлении долгосрочных тарифов на водоотведение для общества с ограниченной ответственностью «Многопрофильное предприятие коммунального хозяйства г. Боровск» на 2020-2024 годы».</w:t>
      </w:r>
    </w:p>
    <w:p w14:paraId="22793600" w14:textId="77777777" w:rsidR="00173A17" w:rsidRPr="00271C74" w:rsidRDefault="00173A17" w:rsidP="006824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74">
        <w:rPr>
          <w:rFonts w:ascii="Times New Roman" w:hAnsi="Times New Roman" w:cs="Times New Roman"/>
          <w:sz w:val="24"/>
          <w:szCs w:val="24"/>
        </w:rPr>
        <w:tab/>
      </w:r>
    </w:p>
    <w:p w14:paraId="1F19579F" w14:textId="77777777" w:rsidR="00173A17" w:rsidRPr="00271C74" w:rsidRDefault="00173A17" w:rsidP="0068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74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15.06.2020 в форме приказ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71C74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ются</w:t>
      </w:r>
      <w:r w:rsidRPr="00271C74">
        <w:rPr>
          <w:rFonts w:ascii="Times New Roman" w:hAnsi="Times New Roman" w:cs="Times New Roman"/>
          <w:b/>
          <w:sz w:val="24"/>
          <w:szCs w:val="24"/>
        </w:rPr>
        <w:t xml:space="preserve">), голосовали единогласно. </w:t>
      </w:r>
    </w:p>
    <w:bookmarkEnd w:id="7"/>
    <w:p w14:paraId="2A433C64" w14:textId="77777777" w:rsidR="00173A17" w:rsidRDefault="00173A17" w:rsidP="0068240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082B2" w14:textId="77777777" w:rsidR="00173A17" w:rsidRPr="00271C74" w:rsidRDefault="00173A17" w:rsidP="0068240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2D39D" w14:textId="77777777" w:rsidR="00173A17" w:rsidRPr="00271C74" w:rsidRDefault="00173A17" w:rsidP="0068240A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1C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1C7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производственной программы в сфере водоснабжения и (или) водоотведения для общества с ограниченной ответственностью Управляющая компания «Возрождение» на 2020 год.</w:t>
      </w:r>
    </w:p>
    <w:p w14:paraId="2F8CE5B5" w14:textId="77777777" w:rsidR="00173A17" w:rsidRPr="00271C74" w:rsidRDefault="00173A17" w:rsidP="006824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7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4B552905" w14:textId="6A3B804B" w:rsidR="00173A17" w:rsidRPr="00271C74" w:rsidRDefault="00173A17" w:rsidP="006824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C74">
        <w:rPr>
          <w:rFonts w:ascii="Times New Roman" w:hAnsi="Times New Roman" w:cs="Times New Roman"/>
          <w:b/>
          <w:sz w:val="24"/>
          <w:szCs w:val="24"/>
        </w:rPr>
        <w:t>Доложил</w:t>
      </w:r>
      <w:r w:rsidR="0068240A">
        <w:rPr>
          <w:rFonts w:ascii="Times New Roman" w:hAnsi="Times New Roman" w:cs="Times New Roman"/>
          <w:b/>
          <w:sz w:val="24"/>
          <w:szCs w:val="24"/>
        </w:rPr>
        <w:t>и</w:t>
      </w:r>
      <w:r w:rsidRPr="00271C74">
        <w:rPr>
          <w:rFonts w:ascii="Times New Roman" w:hAnsi="Times New Roman" w:cs="Times New Roman"/>
          <w:b/>
          <w:sz w:val="24"/>
          <w:szCs w:val="24"/>
        </w:rPr>
        <w:t>:</w:t>
      </w:r>
      <w:r w:rsidRPr="00271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С.И. Ландухова</w:t>
      </w:r>
      <w:r w:rsidRPr="00173A17">
        <w:rPr>
          <w:rFonts w:ascii="Times New Roman" w:eastAsia="Times New Roman" w:hAnsi="Times New Roman" w:cs="Times New Roman"/>
          <w:b/>
          <w:bCs/>
          <w:sz w:val="24"/>
          <w:szCs w:val="24"/>
        </w:rPr>
        <w:t>, Е.С. Ташкинова.</w:t>
      </w:r>
    </w:p>
    <w:p w14:paraId="1D137D9C" w14:textId="77777777" w:rsidR="00173A17" w:rsidRPr="00271C74" w:rsidRDefault="00173A17" w:rsidP="0068240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2754"/>
        <w:gridCol w:w="117"/>
        <w:gridCol w:w="407"/>
        <w:gridCol w:w="248"/>
        <w:gridCol w:w="696"/>
        <w:gridCol w:w="466"/>
        <w:gridCol w:w="244"/>
        <w:gridCol w:w="135"/>
        <w:gridCol w:w="135"/>
        <w:gridCol w:w="1195"/>
        <w:gridCol w:w="463"/>
        <w:gridCol w:w="1026"/>
        <w:gridCol w:w="957"/>
      </w:tblGrid>
      <w:tr w:rsidR="00173A17" w:rsidRPr="00271C74" w14:paraId="4E233C4F" w14:textId="77777777" w:rsidTr="00173A17">
        <w:trPr>
          <w:trHeight w:val="57"/>
        </w:trPr>
        <w:tc>
          <w:tcPr>
            <w:tcW w:w="9638" w:type="dxa"/>
            <w:gridSpan w:val="14"/>
            <w:hideMark/>
          </w:tcPr>
          <w:p w14:paraId="0FC68684" w14:textId="77777777" w:rsidR="00173A17" w:rsidRPr="00271C74" w:rsidRDefault="00173A17" w:rsidP="0068240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Регулируемой организацией представлен проект производственной программы в сфере водоснабжения и (или) водоотведения на 2020 год.</w:t>
            </w:r>
          </w:p>
        </w:tc>
      </w:tr>
      <w:tr w:rsidR="00173A17" w:rsidRPr="00271C74" w14:paraId="416886B0" w14:textId="77777777" w:rsidTr="00173A17">
        <w:trPr>
          <w:trHeight w:val="57"/>
        </w:trPr>
        <w:tc>
          <w:tcPr>
            <w:tcW w:w="9638" w:type="dxa"/>
            <w:gridSpan w:val="14"/>
            <w:hideMark/>
          </w:tcPr>
          <w:p w14:paraId="38CD920B" w14:textId="77777777" w:rsidR="00173A17" w:rsidRPr="00271C74" w:rsidRDefault="00173A17" w:rsidP="0068240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173A17" w:rsidRPr="00271C74" w14:paraId="4BC8647D" w14:textId="77777777" w:rsidTr="00173A17">
        <w:trPr>
          <w:trHeight w:val="57"/>
        </w:trPr>
        <w:tc>
          <w:tcPr>
            <w:tcW w:w="9638" w:type="dxa"/>
            <w:gridSpan w:val="14"/>
            <w:hideMark/>
          </w:tcPr>
          <w:p w14:paraId="6203EDD8" w14:textId="77777777" w:rsidR="00173A17" w:rsidRPr="00271C74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По результатам рассмотрения проекта производственной программы в сфере водоснабжения и (или) водоотведения на 2020 год экспертной группой предлагается утвердить для общества с ограниченной ответственностью Управляющая компания «Возрождение» на 2020 год производственную программу:</w:t>
            </w:r>
          </w:p>
        </w:tc>
      </w:tr>
      <w:tr w:rsidR="00173A17" w14:paraId="357E9AE9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5E776162" w14:textId="77777777" w:rsidR="0068240A" w:rsidRDefault="0068240A" w:rsidP="003024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C3F443" w14:textId="07B5A493" w:rsidR="00173A17" w:rsidRPr="007510EF" w:rsidRDefault="00173A17" w:rsidP="003024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0EF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ПРОГРАММА</w:t>
            </w:r>
            <w:r w:rsidRPr="007510EF">
              <w:rPr>
                <w:rFonts w:ascii="Times New Roman" w:hAnsi="Times New Roman"/>
                <w:bCs/>
                <w:sz w:val="24"/>
                <w:szCs w:val="24"/>
              </w:rPr>
              <w:br/>
              <w:t>в сфере водоснабжения и (или) водоотведения для общества с ограниченной ответственностью Управляющая компания «Возрождение» на 2020 год.</w:t>
            </w:r>
          </w:p>
        </w:tc>
      </w:tr>
      <w:tr w:rsidR="00173A17" w14:paraId="71CCD7A7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5509BE0D" w14:textId="0855C533" w:rsidR="00173A17" w:rsidRPr="007510EF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EF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</w:tc>
      </w:tr>
      <w:tr w:rsidR="00173A17" w14:paraId="1B3E50A7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5A7A2730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EF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173A17" w14:paraId="123F0A5D" w14:textId="77777777" w:rsidTr="001E758E">
        <w:trPr>
          <w:trHeight w:val="57"/>
        </w:trPr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8E5F1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52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A2F23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Управляющая компания «Возрождение», 249007, Калужская область, Боровский район, д. Кривское, ул. Центральная, д. 41, пом. 1</w:t>
            </w:r>
          </w:p>
        </w:tc>
      </w:tr>
      <w:tr w:rsidR="00173A17" w14:paraId="646B3B8C" w14:textId="77777777" w:rsidTr="001E758E">
        <w:trPr>
          <w:trHeight w:val="57"/>
        </w:trPr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D518D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E57CD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="00302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C74">
              <w:rPr>
                <w:rFonts w:ascii="Times New Roman" w:hAnsi="Times New Roman"/>
                <w:sz w:val="20"/>
                <w:szCs w:val="20"/>
              </w:rPr>
              <w:t>ул. Плеханова, д. 45, г. Калуга, 248001</w:t>
            </w:r>
          </w:p>
        </w:tc>
      </w:tr>
      <w:tr w:rsidR="00173A17" w14:paraId="133F24B1" w14:textId="77777777" w:rsidTr="001E758E">
        <w:trPr>
          <w:trHeight w:val="57"/>
        </w:trPr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84F2B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2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1C7EB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с 10.07.2020 по 31.12.2020</w:t>
            </w:r>
          </w:p>
        </w:tc>
      </w:tr>
      <w:tr w:rsidR="00173A17" w14:paraId="63DA5E73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786F609D" w14:textId="5D7AF25E" w:rsidR="00173A17" w:rsidRPr="00271C74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</w:tc>
      </w:tr>
      <w:tr w:rsidR="00173A17" w14:paraId="44843061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4B665817" w14:textId="77777777" w:rsidR="00173A17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  <w:p w14:paraId="304E3CED" w14:textId="77777777" w:rsidR="00173A17" w:rsidRPr="00271C74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7" w14:paraId="1DFD8226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0E2BD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73CE9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87EB9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2755F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173A17" w14:paraId="0C6734CE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ADF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CC57B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0D6F9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3FFBF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3A17" w14:paraId="4F3480F3" w14:textId="77777777" w:rsidTr="00173A17">
        <w:trPr>
          <w:trHeight w:val="57"/>
        </w:trPr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18452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348D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DB50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104B2580" w14:textId="77777777" w:rsidTr="00173A17">
        <w:trPr>
          <w:trHeight w:val="57"/>
        </w:trPr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3D1E8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6CC6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CA4F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464" w14:paraId="3548CFB8" w14:textId="77777777" w:rsidTr="00302464">
        <w:trPr>
          <w:trHeight w:val="57"/>
        </w:trPr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A4916" w14:textId="77777777" w:rsidR="00302464" w:rsidRPr="00271C74" w:rsidRDefault="00302464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lastRenderedPageBreak/>
              <w:t>Ремонт трубы в напорном коллекторе</w:t>
            </w: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2A391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9AB98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169,96</w:t>
            </w:r>
          </w:p>
        </w:tc>
      </w:tr>
      <w:tr w:rsidR="00302464" w14:paraId="684F2E45" w14:textId="77777777" w:rsidTr="00302464">
        <w:trPr>
          <w:trHeight w:val="57"/>
        </w:trPr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59618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3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BDECC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169,96</w:t>
            </w:r>
          </w:p>
        </w:tc>
      </w:tr>
      <w:tr w:rsidR="00173A17" w14:paraId="65C50CC4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40AEF824" w14:textId="77777777" w:rsidR="00173A17" w:rsidRDefault="00173A17" w:rsidP="003024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3724636" w14:textId="77777777" w:rsidR="00173A17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E206FA" w:rsidRPr="00271C74">
              <w:rPr>
                <w:rFonts w:ascii="Times New Roman" w:hAnsi="Times New Roman"/>
                <w:sz w:val="24"/>
                <w:szCs w:val="24"/>
              </w:rPr>
              <w:t>Перечень плановых мероприятий,</w:t>
            </w:r>
            <w:r w:rsidRPr="00271C74"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  <w:p w14:paraId="21FC43E2" w14:textId="77777777" w:rsidR="00173A17" w:rsidRPr="00271C74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7" w14:paraId="70FC31D4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7A8F9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A3645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0B86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012C1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173A17" w14:paraId="5CEC1981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0894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02F69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779DA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A8E90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3A17" w14:paraId="141F27B4" w14:textId="77777777" w:rsidTr="00173A17">
        <w:trPr>
          <w:trHeight w:val="57"/>
        </w:trPr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B58FB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17D56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1226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4BF51D55" w14:textId="77777777" w:rsidTr="00173A17">
        <w:trPr>
          <w:trHeight w:val="57"/>
        </w:trPr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2ED73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0C1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10B1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464" w14:paraId="40ABEE8C" w14:textId="77777777" w:rsidTr="00302464">
        <w:trPr>
          <w:trHeight w:val="57"/>
        </w:trPr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2737" w14:textId="77777777" w:rsidR="00302464" w:rsidRPr="00271C74" w:rsidRDefault="00302464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41A94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CA96A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38013C74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1EEB3CB1" w14:textId="77777777" w:rsidR="00173A17" w:rsidRDefault="00173A17" w:rsidP="003024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41840A59" w14:textId="77777777" w:rsidR="00173A17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  <w:p w14:paraId="018DCD14" w14:textId="77777777" w:rsidR="00173A17" w:rsidRPr="00271C74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7" w14:paraId="15653311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8ECDC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3742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B2FB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35B60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173A17" w14:paraId="71B37533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4C7B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E048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09B77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8F7B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3A17" w14:paraId="792C2C9E" w14:textId="77777777" w:rsidTr="00173A17">
        <w:trPr>
          <w:trHeight w:val="57"/>
        </w:trPr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42A4E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A0B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D770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3E482F35" w14:textId="77777777" w:rsidTr="00173A17">
        <w:trPr>
          <w:trHeight w:val="57"/>
        </w:trPr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8AAE0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286A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70E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464" w14:paraId="2BBBA757" w14:textId="77777777" w:rsidTr="00302464">
        <w:trPr>
          <w:trHeight w:val="57"/>
        </w:trPr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C870" w14:textId="77777777" w:rsidR="00302464" w:rsidRPr="00271C74" w:rsidRDefault="00302464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155C4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41B64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4FF72352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590F908B" w14:textId="77777777" w:rsidR="00173A17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28F977" w14:textId="50B0ECDE" w:rsidR="00173A17" w:rsidRPr="00271C74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Раздел III</w:t>
            </w:r>
          </w:p>
        </w:tc>
      </w:tr>
      <w:tr w:rsidR="00173A17" w14:paraId="092F061B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5712D981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173A17" w14:paraId="1801598B" w14:textId="77777777" w:rsidTr="001E758E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9DDEC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395B4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2F4AE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18C55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173A17" w14:paraId="51CA78C9" w14:textId="77777777" w:rsidTr="001E758E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D4F9F9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867C15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52F510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9052F0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3A17" w14:paraId="225C38C9" w14:textId="77777777" w:rsidTr="001E758E">
        <w:trPr>
          <w:trHeight w:val="57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88851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26857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8E12" w14:textId="77777777" w:rsidR="00173A17" w:rsidRPr="007510EF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464" w14:paraId="187592A1" w14:textId="77777777" w:rsidTr="001E758E">
        <w:trPr>
          <w:trHeight w:val="57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2E64" w14:textId="77777777" w:rsidR="00302464" w:rsidRPr="007510EF" w:rsidRDefault="00302464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F9516" w14:textId="77777777" w:rsidR="00302464" w:rsidRPr="007510EF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7510EF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72FE8" w14:textId="77777777" w:rsidR="00302464" w:rsidRPr="007510EF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93,71</w:t>
            </w:r>
          </w:p>
        </w:tc>
      </w:tr>
      <w:tr w:rsidR="00173A17" w14:paraId="751366D4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7186D891" w14:textId="77777777" w:rsidR="00173A17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2F27B6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173A17" w14:paraId="40F6658E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045CBA92" w14:textId="77777777" w:rsidR="00173A17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  <w:p w14:paraId="746E27B6" w14:textId="77777777" w:rsidR="00E206FA" w:rsidRPr="00271C74" w:rsidRDefault="00E206FA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7" w14:paraId="7B01BC58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2DCEA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01DF2A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B2626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35C1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173A17" w14:paraId="19D0FE9B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366D2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C3AA9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3645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C929A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3A17" w14:paraId="586D1E60" w14:textId="77777777" w:rsidTr="00173A17">
        <w:trPr>
          <w:trHeight w:val="57"/>
        </w:trPr>
        <w:tc>
          <w:tcPr>
            <w:tcW w:w="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43FED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22BD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9CFA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464" w14:paraId="169D77ED" w14:textId="77777777" w:rsidTr="00302464">
        <w:trPr>
          <w:trHeight w:val="57"/>
        </w:trPr>
        <w:tc>
          <w:tcPr>
            <w:tcW w:w="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36F1" w14:textId="77777777" w:rsidR="00302464" w:rsidRPr="00271C74" w:rsidRDefault="00302464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B53C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980A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464" w14:paraId="6BE0E0BA" w14:textId="77777777" w:rsidTr="00302464">
        <w:trPr>
          <w:trHeight w:val="57"/>
        </w:trPr>
        <w:tc>
          <w:tcPr>
            <w:tcW w:w="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6CBB" w14:textId="77777777" w:rsidR="00302464" w:rsidRPr="00271C74" w:rsidRDefault="00302464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E0D29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BC5D3" w14:textId="77777777" w:rsidR="00302464" w:rsidRPr="00271C74" w:rsidRDefault="00302464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2341,67</w:t>
            </w:r>
          </w:p>
        </w:tc>
      </w:tr>
      <w:tr w:rsidR="00173A17" w14:paraId="79B22C7F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2D1A3ECD" w14:textId="77777777" w:rsidR="00173A17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8026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173A17" w14:paraId="64259022" w14:textId="77777777" w:rsidTr="00173A17">
        <w:trPr>
          <w:trHeight w:val="80"/>
        </w:trPr>
        <w:tc>
          <w:tcPr>
            <w:tcW w:w="9638" w:type="dxa"/>
            <w:gridSpan w:val="14"/>
            <w:vAlign w:val="bottom"/>
            <w:hideMark/>
          </w:tcPr>
          <w:p w14:paraId="1E98BA08" w14:textId="2087CB91" w:rsidR="00173A17" w:rsidRPr="00271C74" w:rsidRDefault="00173A17" w:rsidP="0065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73A17" w14:paraId="18C5B4AE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7504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F8B2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A75CA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План 2020</w:t>
            </w:r>
          </w:p>
        </w:tc>
      </w:tr>
      <w:tr w:rsidR="00173A17" w14:paraId="70E75AC7" w14:textId="77777777" w:rsidTr="00173A17">
        <w:trPr>
          <w:trHeight w:val="57"/>
        </w:trPr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13912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173A17" w14:paraId="08EDD226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26C37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E77C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632F5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24FC64E0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3B9EC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05C76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810E1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598DA144" w14:textId="77777777" w:rsidTr="00173A17">
        <w:trPr>
          <w:trHeight w:val="57"/>
        </w:trPr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B6C0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73A17" w14:paraId="5FA6D2ED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08C6B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79FC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8F33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2B5C883B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6C16A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6C7E4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F3B22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7AFA8A61" w14:textId="77777777" w:rsidTr="00173A17">
        <w:trPr>
          <w:trHeight w:val="57"/>
        </w:trPr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30319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173A17" w14:paraId="6CC9B043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BA332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0AE07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0F592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0B223C3D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BEC75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B108D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6FF6F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6B0C616F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DADD4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2644C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E9FFC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666C1C12" w14:textId="77777777" w:rsidTr="00173A17">
        <w:trPr>
          <w:trHeight w:val="57"/>
        </w:trPr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2C5D3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173A17" w14:paraId="60EA6413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DD85F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29BB0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B8D59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28CBAA88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E1774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7BDC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271C7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A5BAC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15D2FED9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9DD1A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4030B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271C7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5733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5BB39C90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77ED5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98D7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271C7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4F12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72F5A558" w14:textId="77777777" w:rsidTr="001E758E">
        <w:trPr>
          <w:trHeight w:val="57"/>
        </w:trPr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A19C8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BBC7D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271C7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ACF0C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25704506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54D524B1" w14:textId="77777777" w:rsidR="00173A17" w:rsidRDefault="00173A17" w:rsidP="00682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ED80BB" w14:textId="77777777" w:rsidR="00173A17" w:rsidRPr="00271C74" w:rsidRDefault="00173A17" w:rsidP="00682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173A17" w14:paraId="3C4D425E" w14:textId="77777777" w:rsidTr="00173A17">
        <w:trPr>
          <w:trHeight w:val="57"/>
        </w:trPr>
        <w:tc>
          <w:tcPr>
            <w:tcW w:w="9638" w:type="dxa"/>
            <w:gridSpan w:val="14"/>
            <w:hideMark/>
          </w:tcPr>
          <w:p w14:paraId="5F14CEC5" w14:textId="77777777" w:rsidR="00173A17" w:rsidRPr="00271C74" w:rsidRDefault="00173A17" w:rsidP="00682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73A17" w14:paraId="150ED29E" w14:textId="77777777" w:rsidTr="00173A17">
        <w:trPr>
          <w:trHeight w:val="57"/>
        </w:trPr>
        <w:tc>
          <w:tcPr>
            <w:tcW w:w="9638" w:type="dxa"/>
            <w:gridSpan w:val="14"/>
            <w:hideMark/>
          </w:tcPr>
          <w:p w14:paraId="7AF7F214" w14:textId="56F87F96" w:rsidR="00173A17" w:rsidRPr="00271C74" w:rsidRDefault="00173A17" w:rsidP="0068240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173A17" w14:paraId="07910B2F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3514EBC0" w14:textId="77777777" w:rsidR="0068240A" w:rsidRDefault="0068240A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2B9DB" w14:textId="1643760F" w:rsidR="00173A17" w:rsidRPr="00271C74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173A17" w14:paraId="1D6DFA46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6266D10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Ранее организация не осуществляла регулируемую деятельность</w:t>
            </w:r>
          </w:p>
        </w:tc>
      </w:tr>
      <w:tr w:rsidR="00173A17" w14:paraId="36FD8C13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4E0E06E3" w14:textId="77777777" w:rsidR="0068240A" w:rsidRDefault="0068240A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70528" w14:textId="266D66D0" w:rsidR="00173A17" w:rsidRPr="00271C74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173A17" w14:paraId="145EF038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37F385C0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173A17" w14:paraId="37F55589" w14:textId="77777777" w:rsidTr="00173A17">
        <w:trPr>
          <w:trHeight w:val="57"/>
        </w:trPr>
        <w:tc>
          <w:tcPr>
            <w:tcW w:w="9638" w:type="dxa"/>
            <w:gridSpan w:val="14"/>
            <w:vAlign w:val="bottom"/>
            <w:hideMark/>
          </w:tcPr>
          <w:p w14:paraId="1932432D" w14:textId="77777777" w:rsidR="00173A17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мероприятий,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  <w:p w14:paraId="3847DCFB" w14:textId="77777777" w:rsidR="00302464" w:rsidRPr="00271C74" w:rsidRDefault="00302464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7" w14:paraId="4C6DFE66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F4621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2464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E763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A222D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173A17" w14:paraId="42BD0531" w14:textId="77777777" w:rsidTr="00173A17">
        <w:trPr>
          <w:trHeight w:val="5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5780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A90BD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F8797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1790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3A17" w14:paraId="589D479B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D081C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Транспортировка стоков ГО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CF5D0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EE5A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7D7A5064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0DC87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8EB00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558A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239913BC" w14:textId="77777777" w:rsidTr="00302464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148C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02164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DCDB2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054CF3A6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6E69E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14A4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97D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0DAE89D7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BCC2B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758C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534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718262C9" w14:textId="77777777" w:rsidTr="00302464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C0EA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7B99B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85F06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7BBB7753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4B1BB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1E6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926F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414129ED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DA489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FF81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A246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5AF0B8BD" w14:textId="77777777" w:rsidTr="00302464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4269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AA3C4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96627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6A70439C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C0AF1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CA90C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27F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0B97DA89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EB4CD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B0359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5650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7BDC7DA8" w14:textId="77777777" w:rsidTr="00302464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7856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056CC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E9950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184023C8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D8FF0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D86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EF0A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615E958C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97EA1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D18F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4A84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2F4BF6F5" w14:textId="77777777" w:rsidTr="00302464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15C6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BEE58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3A69F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3A17" w14:paraId="64E3848B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DDCA3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2592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0909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012848D1" w14:textId="77777777" w:rsidTr="00173A17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0C661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30B6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75CE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7" w14:paraId="456F65DC" w14:textId="77777777" w:rsidTr="00302464">
        <w:trPr>
          <w:trHeight w:val="57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197A" w14:textId="77777777" w:rsidR="00173A17" w:rsidRPr="00271C74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3FC7D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A4253" w14:textId="77777777" w:rsidR="00173A17" w:rsidRPr="00271C74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DA37E90" w14:textId="77777777" w:rsidR="000A3874" w:rsidRDefault="000A3874" w:rsidP="00173A17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</w:p>
    <w:p w14:paraId="1A8E960E" w14:textId="77777777" w:rsidR="00173A17" w:rsidRPr="00687A7A" w:rsidRDefault="00173A17" w:rsidP="00173A17">
      <w:pPr>
        <w:pStyle w:val="a5"/>
        <w:tabs>
          <w:tab w:val="left" w:pos="709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A7A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2EEE94C6" w14:textId="22D2B027" w:rsidR="00173A17" w:rsidRDefault="00173A17" w:rsidP="0044165B">
      <w:pPr>
        <w:pStyle w:val="a5"/>
        <w:tabs>
          <w:tab w:val="left" w:pos="720"/>
          <w:tab w:val="left" w:pos="1134"/>
        </w:tabs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 10.07.2020 у</w:t>
      </w:r>
      <w:r w:rsidRPr="00687A7A">
        <w:rPr>
          <w:rFonts w:ascii="Times New Roman" w:hAnsi="Times New Roman"/>
          <w:bCs/>
          <w:sz w:val="24"/>
          <w:szCs w:val="24"/>
        </w:rPr>
        <w:t>твердить</w:t>
      </w:r>
      <w:r>
        <w:rPr>
          <w:rFonts w:ascii="Times New Roman" w:hAnsi="Times New Roman"/>
          <w:bCs/>
          <w:sz w:val="24"/>
          <w:szCs w:val="24"/>
        </w:rPr>
        <w:t xml:space="preserve"> предложенную </w:t>
      </w:r>
      <w:r w:rsidRPr="00687A7A">
        <w:rPr>
          <w:rFonts w:ascii="Times New Roman" w:hAnsi="Times New Roman"/>
          <w:bCs/>
          <w:sz w:val="24"/>
          <w:szCs w:val="24"/>
        </w:rPr>
        <w:t>производственную программу в</w:t>
      </w:r>
      <w:r w:rsidR="0044165B">
        <w:rPr>
          <w:rFonts w:ascii="Times New Roman" w:hAnsi="Times New Roman"/>
          <w:bCs/>
          <w:sz w:val="24"/>
          <w:szCs w:val="24"/>
        </w:rPr>
        <w:t xml:space="preserve"> </w:t>
      </w:r>
      <w:r w:rsidRPr="00687A7A">
        <w:rPr>
          <w:rFonts w:ascii="Times New Roman" w:hAnsi="Times New Roman"/>
          <w:bCs/>
          <w:sz w:val="24"/>
          <w:szCs w:val="24"/>
        </w:rPr>
        <w:t>сфере водоснабжения и</w:t>
      </w:r>
      <w:r w:rsidR="0044165B">
        <w:rPr>
          <w:rFonts w:ascii="Times New Roman" w:hAnsi="Times New Roman"/>
          <w:bCs/>
          <w:sz w:val="24"/>
          <w:szCs w:val="24"/>
        </w:rPr>
        <w:t xml:space="preserve"> </w:t>
      </w:r>
      <w:r w:rsidRPr="00687A7A">
        <w:rPr>
          <w:rFonts w:ascii="Times New Roman" w:hAnsi="Times New Roman"/>
          <w:bCs/>
          <w:sz w:val="24"/>
          <w:szCs w:val="24"/>
        </w:rPr>
        <w:t>(или) водоотведения для</w:t>
      </w:r>
      <w:r w:rsidR="00BF4612">
        <w:rPr>
          <w:rFonts w:ascii="Times New Roman" w:hAnsi="Times New Roman"/>
          <w:bCs/>
          <w:sz w:val="24"/>
          <w:szCs w:val="24"/>
        </w:rPr>
        <w:t xml:space="preserve"> </w:t>
      </w:r>
      <w:r w:rsidRPr="00687A7A">
        <w:rPr>
          <w:rFonts w:ascii="Times New Roman" w:hAnsi="Times New Roman"/>
          <w:bCs/>
          <w:sz w:val="24"/>
          <w:szCs w:val="24"/>
        </w:rPr>
        <w:t>общества с</w:t>
      </w:r>
      <w:r w:rsidR="00BF4612">
        <w:rPr>
          <w:rFonts w:ascii="Times New Roman" w:hAnsi="Times New Roman"/>
          <w:bCs/>
          <w:sz w:val="24"/>
          <w:szCs w:val="24"/>
        </w:rPr>
        <w:t xml:space="preserve"> </w:t>
      </w:r>
      <w:r w:rsidRPr="00687A7A">
        <w:rPr>
          <w:rFonts w:ascii="Times New Roman" w:hAnsi="Times New Roman"/>
          <w:bCs/>
          <w:sz w:val="24"/>
          <w:szCs w:val="24"/>
        </w:rPr>
        <w:t>ограниченной ответственностью Управляющая компания «Возрождение» на</w:t>
      </w:r>
      <w:r w:rsidR="00BF4612">
        <w:rPr>
          <w:rFonts w:ascii="Times New Roman" w:hAnsi="Times New Roman"/>
          <w:bCs/>
          <w:sz w:val="24"/>
          <w:szCs w:val="24"/>
        </w:rPr>
        <w:t xml:space="preserve"> </w:t>
      </w:r>
      <w:r w:rsidRPr="00687A7A">
        <w:rPr>
          <w:rFonts w:ascii="Times New Roman" w:hAnsi="Times New Roman"/>
          <w:bCs/>
          <w:sz w:val="24"/>
          <w:szCs w:val="24"/>
        </w:rPr>
        <w:t>2020 год.</w:t>
      </w:r>
    </w:p>
    <w:p w14:paraId="07BC8B3C" w14:textId="77777777" w:rsidR="0044165B" w:rsidRPr="00271C74" w:rsidRDefault="0044165B" w:rsidP="0044165B">
      <w:pPr>
        <w:pStyle w:val="a5"/>
        <w:tabs>
          <w:tab w:val="left" w:pos="720"/>
          <w:tab w:val="left" w:pos="1134"/>
        </w:tabs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E34CB" w14:textId="77777777" w:rsidR="00173A17" w:rsidRPr="00271C74" w:rsidRDefault="00173A17" w:rsidP="00173A17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E7218B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>.06.2020 в форме приказа (прилагается), голосовали единогласно.</w:t>
      </w:r>
    </w:p>
    <w:p w14:paraId="2ECC0073" w14:textId="77777777" w:rsidR="00173A17" w:rsidRPr="00271C74" w:rsidRDefault="00173A17" w:rsidP="00173A17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A1829" w14:textId="77777777" w:rsidR="00173A17" w:rsidRPr="00271C74" w:rsidRDefault="00173A17" w:rsidP="00173A17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DDBAC" w14:textId="06DDF63E" w:rsidR="00173A17" w:rsidRPr="00271C74" w:rsidRDefault="00160693" w:rsidP="00173A17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73A17" w:rsidRPr="00271C7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3A17" w:rsidRPr="00271C7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тарифов на водоотведение для общества с ограниченной ответственностью Управляющая компания «Возрождение» на 2020 год.</w:t>
      </w:r>
    </w:p>
    <w:p w14:paraId="7CA13C35" w14:textId="77777777" w:rsidR="00173A17" w:rsidRPr="00271C74" w:rsidRDefault="00173A17" w:rsidP="00173A1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7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508FBE94" w14:textId="67361FB6" w:rsidR="00173A17" w:rsidRPr="00271C74" w:rsidRDefault="00173A17" w:rsidP="00173A17">
      <w:pPr>
        <w:tabs>
          <w:tab w:val="left" w:pos="1418"/>
        </w:tabs>
        <w:spacing w:after="0" w:line="240" w:lineRule="auto"/>
        <w:ind w:right="-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C74">
        <w:rPr>
          <w:rFonts w:ascii="Times New Roman" w:hAnsi="Times New Roman" w:cs="Times New Roman"/>
          <w:b/>
          <w:sz w:val="24"/>
          <w:szCs w:val="24"/>
        </w:rPr>
        <w:t>Доложил</w:t>
      </w:r>
      <w:r w:rsidR="0044165B">
        <w:rPr>
          <w:rFonts w:ascii="Times New Roman" w:hAnsi="Times New Roman" w:cs="Times New Roman"/>
          <w:b/>
          <w:sz w:val="24"/>
          <w:szCs w:val="24"/>
        </w:rPr>
        <w:t>и</w:t>
      </w:r>
      <w:r w:rsidRPr="00271C74">
        <w:rPr>
          <w:rFonts w:ascii="Times New Roman" w:hAnsi="Times New Roman" w:cs="Times New Roman"/>
          <w:b/>
          <w:sz w:val="24"/>
          <w:szCs w:val="24"/>
        </w:rPr>
        <w:t>:</w:t>
      </w:r>
      <w:r w:rsidRPr="00271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73A17">
        <w:rPr>
          <w:rFonts w:ascii="Times New Roman" w:eastAsia="Times New Roman" w:hAnsi="Times New Roman" w:cs="Times New Roman"/>
          <w:b/>
          <w:bCs/>
          <w:sz w:val="24"/>
          <w:szCs w:val="24"/>
        </w:rPr>
        <w:t>Е.С. Ташкинова.</w:t>
      </w:r>
    </w:p>
    <w:tbl>
      <w:tblPr>
        <w:tblStyle w:val="TableStyle0"/>
        <w:tblW w:w="98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2031"/>
        <w:gridCol w:w="1195"/>
        <w:gridCol w:w="176"/>
        <w:gridCol w:w="1060"/>
        <w:gridCol w:w="216"/>
        <w:gridCol w:w="850"/>
        <w:gridCol w:w="284"/>
        <w:gridCol w:w="567"/>
        <w:gridCol w:w="283"/>
        <w:gridCol w:w="228"/>
        <w:gridCol w:w="197"/>
        <w:gridCol w:w="1134"/>
        <w:gridCol w:w="851"/>
        <w:gridCol w:w="425"/>
        <w:gridCol w:w="80"/>
      </w:tblGrid>
      <w:tr w:rsidR="0044165B" w:rsidRPr="00271C74" w14:paraId="449860CD" w14:textId="77777777" w:rsidTr="00E072A6">
        <w:trPr>
          <w:trHeight w:val="60"/>
        </w:trPr>
        <w:tc>
          <w:tcPr>
            <w:tcW w:w="9861" w:type="dxa"/>
            <w:gridSpan w:val="16"/>
            <w:vAlign w:val="bottom"/>
          </w:tcPr>
          <w:p w14:paraId="6F459B20" w14:textId="77777777" w:rsidR="0044165B" w:rsidRDefault="0044165B" w:rsidP="0044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5E0A8" w14:textId="508A9366" w:rsidR="0044165B" w:rsidRPr="00271C74" w:rsidRDefault="0044165B" w:rsidP="0044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173A17" w14:paraId="570DF97B" w14:textId="77777777" w:rsidTr="00E072A6">
        <w:trPr>
          <w:gridBefore w:val="1"/>
          <w:gridAfter w:val="2"/>
          <w:wBefore w:w="284" w:type="dxa"/>
          <w:wAfter w:w="505" w:type="dxa"/>
          <w:trHeight w:val="60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66EAA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0EF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01838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Управляющая компания «Возрождение»</w:t>
            </w:r>
          </w:p>
        </w:tc>
      </w:tr>
      <w:tr w:rsidR="00173A17" w14:paraId="1FA28B71" w14:textId="77777777" w:rsidTr="00E072A6">
        <w:trPr>
          <w:gridBefore w:val="1"/>
          <w:gridAfter w:val="2"/>
          <w:wBefore w:w="284" w:type="dxa"/>
          <w:wAfter w:w="505" w:type="dxa"/>
          <w:trHeight w:val="60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8B50E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0E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6BDF8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1184027014599</w:t>
            </w:r>
          </w:p>
        </w:tc>
      </w:tr>
      <w:tr w:rsidR="00173A17" w14:paraId="063249A3" w14:textId="77777777" w:rsidTr="00E072A6">
        <w:trPr>
          <w:gridBefore w:val="1"/>
          <w:gridAfter w:val="2"/>
          <w:wBefore w:w="284" w:type="dxa"/>
          <w:wAfter w:w="505" w:type="dxa"/>
          <w:trHeight w:val="60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C384E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8E266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4003039620</w:t>
            </w:r>
          </w:p>
        </w:tc>
      </w:tr>
      <w:tr w:rsidR="00173A17" w14:paraId="5227968B" w14:textId="77777777" w:rsidTr="00E072A6">
        <w:trPr>
          <w:gridBefore w:val="1"/>
          <w:gridAfter w:val="2"/>
          <w:wBefore w:w="284" w:type="dxa"/>
          <w:wAfter w:w="505" w:type="dxa"/>
          <w:trHeight w:val="60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F98E1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8BF16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400301001</w:t>
            </w:r>
          </w:p>
        </w:tc>
      </w:tr>
      <w:tr w:rsidR="00173A17" w14:paraId="4F8278A6" w14:textId="77777777" w:rsidTr="00E072A6">
        <w:trPr>
          <w:gridBefore w:val="1"/>
          <w:gridAfter w:val="2"/>
          <w:wBefore w:w="284" w:type="dxa"/>
          <w:wAfter w:w="505" w:type="dxa"/>
          <w:trHeight w:val="60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72D88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AAED9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173A17" w14:paraId="30275720" w14:textId="77777777" w:rsidTr="00E072A6">
        <w:trPr>
          <w:gridBefore w:val="1"/>
          <w:gridAfter w:val="2"/>
          <w:wBefore w:w="284" w:type="dxa"/>
          <w:wAfter w:w="505" w:type="dxa"/>
          <w:trHeight w:val="60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B4C86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390D0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173A17" w14:paraId="056A9348" w14:textId="77777777" w:rsidTr="00E072A6">
        <w:trPr>
          <w:gridBefore w:val="1"/>
          <w:gridAfter w:val="2"/>
          <w:wBefore w:w="284" w:type="dxa"/>
          <w:wAfter w:w="505" w:type="dxa"/>
          <w:trHeight w:val="60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63F1D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0293B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249007, Калужская область, Боровский район, д. Кривское, ул. Центральная, д. 41, пом. 1</w:t>
            </w:r>
          </w:p>
        </w:tc>
      </w:tr>
      <w:tr w:rsidR="00173A17" w14:paraId="566E52DB" w14:textId="77777777" w:rsidTr="00E072A6">
        <w:trPr>
          <w:gridBefore w:val="1"/>
          <w:gridAfter w:val="2"/>
          <w:wBefore w:w="284" w:type="dxa"/>
          <w:wAfter w:w="505" w:type="dxa"/>
          <w:trHeight w:val="60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0D246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FAC36" w14:textId="77777777" w:rsidR="00173A17" w:rsidRPr="007510EF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sz w:val="20"/>
                <w:szCs w:val="20"/>
              </w:rPr>
              <w:t>249007, Калужская область, Боровский район, д. Кривское, ул. Центральная, д. 41, пом. 1</w:t>
            </w:r>
          </w:p>
        </w:tc>
      </w:tr>
      <w:tr w:rsidR="00173A17" w:rsidRPr="00271C74" w14:paraId="4E9B1639" w14:textId="77777777" w:rsidTr="00E072A6">
        <w:trPr>
          <w:gridAfter w:val="1"/>
          <w:wAfter w:w="80" w:type="dxa"/>
        </w:trPr>
        <w:tc>
          <w:tcPr>
            <w:tcW w:w="9781" w:type="dxa"/>
            <w:gridSpan w:val="15"/>
            <w:vAlign w:val="bottom"/>
            <w:hideMark/>
          </w:tcPr>
          <w:p w14:paraId="616D8116" w14:textId="77777777" w:rsidR="00173A17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0FE078D" w14:textId="77777777" w:rsidR="00173A17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Организация представила в министерство конкурентной политики Калужской области предложение, для установления одноставочных тарифов на водоотведение методом экономически обоснованных расходов на 2020 год в следующих размерах:</w:t>
            </w:r>
          </w:p>
          <w:p w14:paraId="6C748EE7" w14:textId="77777777" w:rsidR="00173A17" w:rsidRPr="00271C74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7" w14:paraId="65B2A8C6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06E89" w14:textId="77777777" w:rsidR="00173A17" w:rsidRPr="007510EF" w:rsidRDefault="00173A17" w:rsidP="00441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8D51D7" w14:textId="77777777" w:rsidR="00173A17" w:rsidRPr="007510EF" w:rsidRDefault="00173A17" w:rsidP="00441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774D" w14:textId="77777777" w:rsidR="00173A17" w:rsidRDefault="00173A17" w:rsidP="00441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Период действия тарифов</w:t>
            </w:r>
          </w:p>
        </w:tc>
      </w:tr>
      <w:tr w:rsidR="00173A17" w14:paraId="0EDA7E21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1B20A" w14:textId="77777777" w:rsidR="00173A17" w:rsidRPr="007510EF" w:rsidRDefault="00173A17" w:rsidP="00441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17D1A4" w14:textId="77777777" w:rsidR="00173A17" w:rsidRPr="007510EF" w:rsidRDefault="00173A17" w:rsidP="00441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280A2" w14:textId="1AD206EB" w:rsidR="00173A17" w:rsidRPr="007510EF" w:rsidRDefault="00173A17" w:rsidP="00441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01.05-30.06</w:t>
            </w:r>
            <w:r w:rsidR="004416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D8A96" w14:textId="3174D9AF" w:rsidR="00173A17" w:rsidRDefault="00173A17" w:rsidP="00441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01.07-31.12</w:t>
            </w:r>
            <w:r w:rsidR="004416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173A17" w14:paraId="07BE3B3F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5F19" w14:textId="77777777" w:rsidR="00173A17" w:rsidRDefault="00173A17" w:rsidP="00441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Тарифы</w:t>
            </w:r>
          </w:p>
        </w:tc>
      </w:tr>
      <w:tr w:rsidR="00173A17" w14:paraId="48DF34C0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F3886D" w14:textId="77777777" w:rsidR="00173A17" w:rsidRPr="007510EF" w:rsidRDefault="00173A17" w:rsidP="00441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4C57B57" w14:textId="77777777" w:rsidR="00173A17" w:rsidRPr="007510EF" w:rsidRDefault="00173A17" w:rsidP="00441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руб./м3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985DB" w14:textId="77777777" w:rsidR="00173A17" w:rsidRPr="007510EF" w:rsidRDefault="00173A17" w:rsidP="0044165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40,07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106D0" w14:textId="77777777" w:rsidR="00173A17" w:rsidRDefault="00173A17" w:rsidP="00441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41,49</w:t>
            </w:r>
          </w:p>
        </w:tc>
      </w:tr>
      <w:tr w:rsidR="00173A17" w14:paraId="73D365C6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85C3" w14:textId="77777777" w:rsidR="00173A17" w:rsidRDefault="00173A17" w:rsidP="00441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EF">
              <w:rPr>
                <w:rFonts w:ascii="Times New Roman" w:hAnsi="Times New Roman"/>
                <w:bCs/>
                <w:sz w:val="20"/>
                <w:szCs w:val="20"/>
              </w:rPr>
              <w:t>Тарифы для населения</w:t>
            </w:r>
          </w:p>
        </w:tc>
      </w:tr>
      <w:tr w:rsidR="00173A17" w14:paraId="354EF6F4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F45844" w14:textId="77777777" w:rsidR="00173A17" w:rsidRDefault="00173A17" w:rsidP="00441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Водоотведение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BEADB95" w14:textId="77777777" w:rsidR="00173A17" w:rsidRDefault="00173A17" w:rsidP="00441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6A36A" w14:textId="77777777" w:rsidR="00173A17" w:rsidRDefault="00173A17" w:rsidP="00441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40,07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813DD" w14:textId="77777777" w:rsidR="00173A17" w:rsidRDefault="00173A17" w:rsidP="00441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41,49</w:t>
            </w:r>
          </w:p>
        </w:tc>
      </w:tr>
      <w:tr w:rsidR="00173A17" w14:paraId="6D7AA198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bottom"/>
            <w:hideMark/>
          </w:tcPr>
          <w:p w14:paraId="3164B73F" w14:textId="77777777" w:rsidR="00173A17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FD6C619" w14:textId="77777777" w:rsidR="00173A17" w:rsidRPr="00271C74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По представленным организацией материалам, приказом министерства от 18.05.2020 № 206-ТД открыто дело № 171/В-03/1916-20 об установлении одноставочных тарифов на водоотведение методом экономически обоснованных расходов, так как организация обратилась впервые для установления тарифов и ранее регулируемую деятельность не осуществляла.</w:t>
            </w:r>
          </w:p>
        </w:tc>
      </w:tr>
      <w:tr w:rsidR="00173A17" w14:paraId="60A6D931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hideMark/>
          </w:tcPr>
          <w:p w14:paraId="14962F72" w14:textId="77777777" w:rsidR="00173A17" w:rsidRPr="00271C74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173A17" w14:paraId="6A63A2D3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bottom"/>
            <w:hideMark/>
          </w:tcPr>
          <w:p w14:paraId="7BE71027" w14:textId="77777777" w:rsidR="00173A17" w:rsidRPr="00271C74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>Организация является гарантирующей в сфере водоснабжения и водоотведения</w:t>
            </w:r>
            <w:proofErr w:type="gramStart"/>
            <w:r w:rsidRPr="00271C7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271C74">
              <w:rPr>
                <w:rFonts w:ascii="Times New Roman" w:hAnsi="Times New Roman"/>
                <w:sz w:val="24"/>
                <w:szCs w:val="24"/>
              </w:rPr>
              <w:t>постановление адм. МО «Деревня Кривское» Боровского района Калужской    области     от 19.03.2019 № 58(в ред. от 26.06.2019 № 165)).</w:t>
            </w:r>
          </w:p>
        </w:tc>
      </w:tr>
      <w:tr w:rsidR="00173A17" w14:paraId="0AEB266E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bottom"/>
            <w:hideMark/>
          </w:tcPr>
          <w:p w14:paraId="0B6A5FD5" w14:textId="77777777" w:rsidR="00173A17" w:rsidRPr="00271C74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 xml:space="preserve">Имущество для осуществления регулируемой деятельности находится у организации в аренде бессрочно (договор аренды коммуникационных сетей от 03.06.2019 с МУП «ПУ ЖКХ» МО «Боровский район» (протяженность – 2995,5 </w:t>
            </w:r>
            <w:proofErr w:type="spellStart"/>
            <w:r w:rsidRPr="00271C74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271C74">
              <w:rPr>
                <w:rFonts w:ascii="Times New Roman" w:hAnsi="Times New Roman"/>
                <w:sz w:val="24"/>
                <w:szCs w:val="24"/>
              </w:rPr>
              <w:t xml:space="preserve">.) и договор аренды коммуникационных сетей от 03.06.2019 с МУП «ПУ ЖКХ» МО «Боровский район» (протяженность – 4465,2 </w:t>
            </w:r>
            <w:proofErr w:type="spellStart"/>
            <w:r w:rsidRPr="00271C74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271C74">
              <w:rPr>
                <w:rFonts w:ascii="Times New Roman" w:hAnsi="Times New Roman"/>
                <w:sz w:val="24"/>
                <w:szCs w:val="24"/>
              </w:rPr>
              <w:t>.)). Организация оказывает услуги на территории муниципального образования сельское поселение «Деревня Кривское».</w:t>
            </w:r>
          </w:p>
        </w:tc>
      </w:tr>
      <w:tr w:rsidR="00173A17" w14:paraId="509D0C27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hideMark/>
          </w:tcPr>
          <w:p w14:paraId="7A2DF857" w14:textId="77777777" w:rsidR="00173A17" w:rsidRPr="00271C74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у организации отсутствует.</w:t>
            </w:r>
          </w:p>
        </w:tc>
      </w:tr>
      <w:tr w:rsidR="00173A17" w14:paraId="60ABE5D3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hideMark/>
          </w:tcPr>
          <w:p w14:paraId="33E81966" w14:textId="77777777" w:rsidR="00173A17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приказом министерства конкурентной политики Калужской области от 16.12.2019 № 440-РК «Об установлении долгосрочных тарифов на водоотведение для общества с ограниченной ответственностью «Многопрофильное предприятие коммунального хозяйства г. Боровск» на 2020-2024 годы»:</w:t>
            </w:r>
          </w:p>
          <w:p w14:paraId="6A2320BD" w14:textId="77777777" w:rsidR="00173A17" w:rsidRPr="00271C74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7" w14:paraId="3C3A1DEB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CB076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A6C6B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E1EA2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 утвержденные на 2020 год</w:t>
            </w:r>
          </w:p>
        </w:tc>
      </w:tr>
      <w:tr w:rsidR="00173A17" w14:paraId="6526E79B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A9DE2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7B4F3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5C3EB" w14:textId="4350B07C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416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9C8BD" w14:textId="5B6345B5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416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173A17" w14:paraId="4FDD1F3C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00359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73A17" w14:paraId="1C79DB9C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41996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672B2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B0363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24,03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DB5F2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</w:tr>
      <w:tr w:rsidR="00173A17" w14:paraId="0A6A9001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AA938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173A17" w14:paraId="449AA378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334DB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F7BC5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BEF9C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24,03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4129B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</w:tr>
      <w:tr w:rsidR="00173A17" w14:paraId="043C40BE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hideMark/>
          </w:tcPr>
          <w:p w14:paraId="2BDE24F3" w14:textId="78EA162F" w:rsidR="00173A17" w:rsidRPr="00271C74" w:rsidRDefault="00173A17" w:rsidP="00E072A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173A17" w14:paraId="24D4D48B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hideMark/>
          </w:tcPr>
          <w:p w14:paraId="168C70EC" w14:textId="77777777" w:rsidR="00173A17" w:rsidRPr="00271C74" w:rsidRDefault="00173A17" w:rsidP="0044165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173A17" w14:paraId="5FB205F8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hideMark/>
          </w:tcPr>
          <w:p w14:paraId="13EAA4ED" w14:textId="77777777" w:rsidR="00173A17" w:rsidRDefault="00173A17" w:rsidP="00302464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1. Нормативы технологических затрат электрической энергии и (или) химических реагентов</w:t>
            </w:r>
          </w:p>
          <w:p w14:paraId="2BC5D611" w14:textId="77777777" w:rsidR="00173A17" w:rsidRPr="00271C74" w:rsidRDefault="00173A17" w:rsidP="00302464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7" w14:paraId="6DCFF6FE" w14:textId="77777777" w:rsidTr="00E072A6">
        <w:trPr>
          <w:gridAfter w:val="1"/>
          <w:wAfter w:w="80" w:type="dxa"/>
          <w:trHeight w:val="60"/>
        </w:trPr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BD2FC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9E9DC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D6E5F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173A17" w14:paraId="319D3FE7" w14:textId="77777777" w:rsidTr="00E072A6">
        <w:trPr>
          <w:gridAfter w:val="1"/>
          <w:wAfter w:w="80" w:type="dxa"/>
          <w:trHeight w:val="60"/>
        </w:trPr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36F39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ECEC6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2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F5F71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3A17" w14:paraId="154444AC" w14:textId="77777777" w:rsidTr="00E072A6">
        <w:trPr>
          <w:gridAfter w:val="1"/>
          <w:wAfter w:w="80" w:type="dxa"/>
          <w:trHeight w:val="60"/>
        </w:trPr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95030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64863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3B6AF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3A17" w14:paraId="3387681B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hideMark/>
          </w:tcPr>
          <w:p w14:paraId="07F8FB5A" w14:textId="77777777" w:rsidR="00E072A6" w:rsidRDefault="00E072A6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294E23" w14:textId="511F937D" w:rsidR="00E072A6" w:rsidRDefault="00E072A6" w:rsidP="00E0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6B">
              <w:rPr>
                <w:rFonts w:ascii="Times New Roman" w:hAnsi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тарифы.</w:t>
            </w:r>
          </w:p>
          <w:tbl>
            <w:tblPr>
              <w:tblStyle w:val="ab"/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1842"/>
              <w:gridCol w:w="709"/>
              <w:gridCol w:w="1276"/>
              <w:gridCol w:w="1134"/>
              <w:gridCol w:w="1417"/>
              <w:gridCol w:w="2410"/>
            </w:tblGrid>
            <w:tr w:rsidR="001E758E" w14:paraId="7FAC43FB" w14:textId="77777777" w:rsidTr="001E758E">
              <w:trPr>
                <w:jc w:val="center"/>
              </w:trPr>
              <w:tc>
                <w:tcPr>
                  <w:tcW w:w="805" w:type="dxa"/>
                  <w:vAlign w:val="center"/>
                </w:tcPr>
                <w:p w14:paraId="07D5DC86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842" w:type="dxa"/>
                  <w:vAlign w:val="center"/>
                </w:tcPr>
                <w:p w14:paraId="3279C58A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709" w:type="dxa"/>
                  <w:vAlign w:val="center"/>
                </w:tcPr>
                <w:p w14:paraId="049C1634" w14:textId="7E24EF62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Ед.изм</w:t>
                  </w:r>
                  <w:r w:rsidR="001E758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0C7EE9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Предложение организации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6DAF6C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Утверждено на 2020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EFA8F6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Отклонение от предложения организации</w:t>
                  </w:r>
                </w:p>
              </w:tc>
              <w:tc>
                <w:tcPr>
                  <w:tcW w:w="2410" w:type="dxa"/>
                  <w:vAlign w:val="center"/>
                </w:tcPr>
                <w:p w14:paraId="3031C055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Комментарии</w:t>
                  </w:r>
                </w:p>
              </w:tc>
            </w:tr>
            <w:tr w:rsidR="001E758E" w14:paraId="45D824B0" w14:textId="77777777" w:rsidTr="001E758E">
              <w:trPr>
                <w:jc w:val="center"/>
              </w:trPr>
              <w:tc>
                <w:tcPr>
                  <w:tcW w:w="805" w:type="dxa"/>
                  <w:vMerge w:val="restart"/>
                  <w:textDirection w:val="btLr"/>
                  <w:vAlign w:val="center"/>
                </w:tcPr>
                <w:p w14:paraId="0EB902DA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842" w:type="dxa"/>
                  <w:vAlign w:val="center"/>
                </w:tcPr>
                <w:p w14:paraId="6AAF12AD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 абонентам</w:t>
                  </w:r>
                </w:p>
              </w:tc>
              <w:tc>
                <w:tcPr>
                  <w:tcW w:w="709" w:type="dxa"/>
                  <w:vAlign w:val="center"/>
                </w:tcPr>
                <w:p w14:paraId="596C5A80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D8D0AB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207,7</w:t>
                  </w:r>
                </w:p>
              </w:tc>
              <w:tc>
                <w:tcPr>
                  <w:tcW w:w="1134" w:type="dxa"/>
                  <w:vAlign w:val="center"/>
                </w:tcPr>
                <w:p w14:paraId="14CA06BE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195,98</w:t>
                  </w:r>
                </w:p>
              </w:tc>
              <w:tc>
                <w:tcPr>
                  <w:tcW w:w="1417" w:type="dxa"/>
                  <w:vAlign w:val="center"/>
                </w:tcPr>
                <w:p w14:paraId="2571599A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-11,72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8733BA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Объем реализации  определен  на основании фактических данных за 2018 год и соответствует учтенному в тарифах на 2020 год для МП г. </w:t>
                  </w: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Обнинска «Водоканал» и ООО «МПКХ г. Боровск», ранее оказывающего услуги в сфере водоотведения в МО СП «Деревня Кривское»</w:t>
                  </w:r>
                </w:p>
              </w:tc>
            </w:tr>
            <w:tr w:rsidR="001E758E" w14:paraId="36A0BD6A" w14:textId="77777777" w:rsidTr="001E758E">
              <w:trPr>
                <w:jc w:val="center"/>
              </w:trPr>
              <w:tc>
                <w:tcPr>
                  <w:tcW w:w="805" w:type="dxa"/>
                  <w:vMerge/>
                  <w:vAlign w:val="center"/>
                </w:tcPr>
                <w:p w14:paraId="10043DAC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DBE98C6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 других организаций, осуществляющих водоотведение</w:t>
                  </w:r>
                </w:p>
              </w:tc>
              <w:tc>
                <w:tcPr>
                  <w:tcW w:w="709" w:type="dxa"/>
                  <w:vAlign w:val="center"/>
                </w:tcPr>
                <w:p w14:paraId="63F79AA0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F3DCE5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6DFED5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D5E959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965EF78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758E" w14:paraId="7C64B19F" w14:textId="77777777" w:rsidTr="001E758E">
              <w:trPr>
                <w:jc w:val="center"/>
              </w:trPr>
              <w:tc>
                <w:tcPr>
                  <w:tcW w:w="805" w:type="dxa"/>
                  <w:vMerge/>
                  <w:vAlign w:val="center"/>
                </w:tcPr>
                <w:p w14:paraId="4F8F57C9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9279069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 собственных абонентов</w:t>
                  </w:r>
                </w:p>
              </w:tc>
              <w:tc>
                <w:tcPr>
                  <w:tcW w:w="709" w:type="dxa"/>
                  <w:vAlign w:val="center"/>
                </w:tcPr>
                <w:p w14:paraId="0DDBF68C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8E09A3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207,7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149592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195,98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BAD656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-11,72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BD61FC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758E" w14:paraId="7D7B9930" w14:textId="77777777" w:rsidTr="001E758E">
              <w:trPr>
                <w:jc w:val="center"/>
              </w:trPr>
              <w:tc>
                <w:tcPr>
                  <w:tcW w:w="805" w:type="dxa"/>
                  <w:vMerge/>
                  <w:vAlign w:val="center"/>
                </w:tcPr>
                <w:p w14:paraId="3DFF1FFE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7F7B229E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Производственные нужды организации</w:t>
                  </w:r>
                </w:p>
              </w:tc>
              <w:tc>
                <w:tcPr>
                  <w:tcW w:w="709" w:type="dxa"/>
                  <w:vAlign w:val="center"/>
                </w:tcPr>
                <w:p w14:paraId="31EC1550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FA791A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C04A885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C1DA7E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CE80E5B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758E" w14:paraId="7D4F1E65" w14:textId="77777777" w:rsidTr="001E758E">
              <w:trPr>
                <w:jc w:val="center"/>
              </w:trPr>
              <w:tc>
                <w:tcPr>
                  <w:tcW w:w="805" w:type="dxa"/>
                  <w:vMerge/>
                  <w:vAlign w:val="center"/>
                </w:tcPr>
                <w:p w14:paraId="09B0C85E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5E03706C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 бюджетных потребителей</w:t>
                  </w:r>
                </w:p>
              </w:tc>
              <w:tc>
                <w:tcPr>
                  <w:tcW w:w="709" w:type="dxa"/>
                  <w:vAlign w:val="center"/>
                </w:tcPr>
                <w:p w14:paraId="44FCDADE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654540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1E707B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3,12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CDFC6B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-1,88</w:t>
                  </w:r>
                </w:p>
              </w:tc>
              <w:tc>
                <w:tcPr>
                  <w:tcW w:w="2410" w:type="dxa"/>
                  <w:vAlign w:val="center"/>
                </w:tcPr>
                <w:p w14:paraId="425977A0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758E" w14:paraId="2903801E" w14:textId="77777777" w:rsidTr="001E758E">
              <w:trPr>
                <w:jc w:val="center"/>
              </w:trPr>
              <w:tc>
                <w:tcPr>
                  <w:tcW w:w="805" w:type="dxa"/>
                  <w:vMerge/>
                  <w:vAlign w:val="center"/>
                </w:tcPr>
                <w:p w14:paraId="5F4E10C2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50E5DD49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 населения</w:t>
                  </w:r>
                </w:p>
              </w:tc>
              <w:tc>
                <w:tcPr>
                  <w:tcW w:w="709" w:type="dxa"/>
                  <w:vAlign w:val="center"/>
                </w:tcPr>
                <w:p w14:paraId="1D670832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B2355E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B60A67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63,41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B9CE2F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-31,59</w:t>
                  </w:r>
                </w:p>
              </w:tc>
              <w:tc>
                <w:tcPr>
                  <w:tcW w:w="2410" w:type="dxa"/>
                  <w:vAlign w:val="center"/>
                </w:tcPr>
                <w:p w14:paraId="7827C6D3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758E" w14:paraId="52A13572" w14:textId="77777777" w:rsidTr="001E758E">
              <w:trPr>
                <w:jc w:val="center"/>
              </w:trPr>
              <w:tc>
                <w:tcPr>
                  <w:tcW w:w="805" w:type="dxa"/>
                  <w:vMerge/>
                  <w:vAlign w:val="center"/>
                </w:tcPr>
                <w:p w14:paraId="0656D54B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C416248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 прочих потребителей</w:t>
                  </w:r>
                </w:p>
              </w:tc>
              <w:tc>
                <w:tcPr>
                  <w:tcW w:w="709" w:type="dxa"/>
                  <w:vAlign w:val="center"/>
                </w:tcPr>
                <w:p w14:paraId="03643B4D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43B5F7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107,7</w:t>
                  </w:r>
                </w:p>
              </w:tc>
              <w:tc>
                <w:tcPr>
                  <w:tcW w:w="1134" w:type="dxa"/>
                  <w:vAlign w:val="center"/>
                </w:tcPr>
                <w:p w14:paraId="3BA89906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129,45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036248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5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21,75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DE3B98" w14:textId="77777777" w:rsidR="00E072A6" w:rsidRDefault="00E072A6" w:rsidP="00E072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138270E" w14:textId="77777777" w:rsidR="00E072A6" w:rsidRDefault="00E072A6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CAC13" w14:textId="39AE8FBF" w:rsidR="00173A17" w:rsidRPr="00271C74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>3. Фактические значения показателей надежности, качества и энергетической эффективности объектов централизованных систем водоотведения у организации отсутствуют, так как в прошлом периоде организация не осуществляла регулируемую деятельность в сфере водоотведения.</w:t>
            </w:r>
          </w:p>
          <w:p w14:paraId="27225BDA" w14:textId="77777777" w:rsidR="00173A17" w:rsidRDefault="00173A17" w:rsidP="00173A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 xml:space="preserve">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  <w:p w14:paraId="6C2A72EA" w14:textId="77777777" w:rsidR="00173A17" w:rsidRDefault="00173A17" w:rsidP="00173A1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3A17" w14:paraId="2C11D882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19944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1AE26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2F019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Период 2020</w:t>
            </w:r>
          </w:p>
        </w:tc>
      </w:tr>
      <w:tr w:rsidR="00173A17" w14:paraId="5C2B9852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BBC95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E734D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A1C46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2B57A3B8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F7B67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DCA54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BCED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581FC802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09898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AD563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ед./км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90C75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65E0A324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8D6F5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B53DD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ед./км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D1D7B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3E09456E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F8367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0F2C4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E15DA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71931B0F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962E8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41EDE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11A84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5E76291C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1F7E0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F15BB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17A1C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211B3195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40610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98D6B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33A95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60AEC951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9F799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C7396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квт*ч/</w:t>
            </w:r>
            <w:proofErr w:type="spellStart"/>
            <w:proofErr w:type="gramStart"/>
            <w:r w:rsidRPr="001E758E">
              <w:rPr>
                <w:rFonts w:ascii="Times New Roman" w:hAnsi="Times New Roman"/>
                <w:sz w:val="22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B1484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3DB2E636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E1F90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DA9D0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квт*ч/</w:t>
            </w:r>
            <w:proofErr w:type="spellStart"/>
            <w:proofErr w:type="gramStart"/>
            <w:r w:rsidRPr="001E758E">
              <w:rPr>
                <w:rFonts w:ascii="Times New Roman" w:hAnsi="Times New Roman"/>
                <w:sz w:val="22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84383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1C9A75EB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6757E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62E61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квт*ч/</w:t>
            </w:r>
            <w:proofErr w:type="spellStart"/>
            <w:proofErr w:type="gramStart"/>
            <w:r w:rsidRPr="001E758E">
              <w:rPr>
                <w:rFonts w:ascii="Times New Roman" w:hAnsi="Times New Roman"/>
                <w:sz w:val="22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DFD48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371BC61A" w14:textId="77777777" w:rsidTr="001E758E">
        <w:trPr>
          <w:gridAfter w:val="1"/>
          <w:wAfter w:w="80" w:type="dxa"/>
          <w:trHeight w:val="60"/>
        </w:trPr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A8C23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F1DC3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квт*ч/</w:t>
            </w:r>
            <w:proofErr w:type="spellStart"/>
            <w:proofErr w:type="gramStart"/>
            <w:r w:rsidRPr="001E758E">
              <w:rPr>
                <w:rFonts w:ascii="Times New Roman" w:hAnsi="Times New Roman"/>
                <w:sz w:val="22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B634" w14:textId="77777777" w:rsidR="00173A17" w:rsidRPr="001E758E" w:rsidRDefault="00173A17" w:rsidP="00302464">
            <w:pPr>
              <w:jc w:val="center"/>
              <w:rPr>
                <w:rFonts w:ascii="Times New Roman" w:hAnsi="Times New Roman"/>
                <w:sz w:val="22"/>
              </w:rPr>
            </w:pPr>
            <w:r w:rsidRPr="001E758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73A17" w14:paraId="6C4A1DC7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center"/>
            <w:hideMark/>
          </w:tcPr>
          <w:p w14:paraId="56549326" w14:textId="77777777" w:rsidR="001E758E" w:rsidRDefault="00173A17" w:rsidP="001E75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6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F8BABC9" w14:textId="629702D5" w:rsidR="00173A17" w:rsidRPr="00E2756B" w:rsidRDefault="00173A17" w:rsidP="001E75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6B">
              <w:rPr>
                <w:rFonts w:ascii="Times New Roman" w:hAnsi="Times New Roman"/>
                <w:sz w:val="24"/>
                <w:szCs w:val="24"/>
              </w:rPr>
      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173A17" w14:paraId="307D620C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center"/>
            <w:hideMark/>
          </w:tcPr>
          <w:p w14:paraId="72653A60" w14:textId="41546109" w:rsidR="00173A17" w:rsidRPr="00E2756B" w:rsidRDefault="00173A17" w:rsidP="001E75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6B">
              <w:rPr>
                <w:rFonts w:ascii="Times New Roman" w:hAnsi="Times New Roman"/>
                <w:sz w:val="24"/>
                <w:szCs w:val="24"/>
              </w:rPr>
              <w:t>Необходимая валовая выручка в целом по регулируемым видам деятельности по предложению организации в 2020 году составит 8 470,92 тыс. руб., в том числе расходы - 8 067,59 тыс. руб., предпринимательская прибыль – 403,33 тыс. руб.</w:t>
            </w:r>
          </w:p>
        </w:tc>
      </w:tr>
      <w:tr w:rsidR="00173A17" w14:paraId="5BD70D38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center"/>
            <w:hideMark/>
          </w:tcPr>
          <w:p w14:paraId="552732DC" w14:textId="2D30A5B9" w:rsidR="001E758E" w:rsidRPr="00E2756B" w:rsidRDefault="00173A17" w:rsidP="001E75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6B">
              <w:rPr>
                <w:rFonts w:ascii="Times New Roman" w:hAnsi="Times New Roman"/>
                <w:sz w:val="24"/>
                <w:szCs w:val="24"/>
              </w:rPr>
              <w:t>Экспертной группой расчет расходов произведен в соответствии с п. 24 Основ</w:t>
            </w:r>
            <w:r w:rsidR="001E7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56B">
              <w:rPr>
                <w:rFonts w:ascii="Times New Roman" w:hAnsi="Times New Roman"/>
                <w:sz w:val="24"/>
                <w:szCs w:val="24"/>
              </w:rPr>
              <w:t>ценообразования с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173A17" w14:paraId="2D129081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center"/>
            <w:hideMark/>
          </w:tcPr>
          <w:p w14:paraId="6422FB60" w14:textId="3E5280AD" w:rsidR="00173A17" w:rsidRPr="00E2756B" w:rsidRDefault="00173A17" w:rsidP="001E75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6B">
              <w:rPr>
                <w:rFonts w:ascii="Times New Roman" w:hAnsi="Times New Roman"/>
                <w:sz w:val="24"/>
                <w:szCs w:val="24"/>
              </w:rPr>
              <w:t>Экспертная группа предлагает уменьшить необходимую валовую выручку, рассчитанную на 2020 год на сумму 3 573,48 тыс. руб., в том числе уменьшить расходы на сумму 3 403,36 тыс. руб., уменьшить предпринимательскую прибыль – 170,12 тыс. руб.</w:t>
            </w:r>
          </w:p>
        </w:tc>
      </w:tr>
      <w:tr w:rsidR="00173A17" w14:paraId="4AE321BB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center"/>
            <w:hideMark/>
          </w:tcPr>
          <w:p w14:paraId="3C3E7DA7" w14:textId="7E1F37D9" w:rsidR="00173A17" w:rsidRDefault="00173A17" w:rsidP="001E75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6B">
              <w:rPr>
                <w:rFonts w:ascii="Times New Roman" w:hAnsi="Times New Roman"/>
                <w:sz w:val="24"/>
                <w:szCs w:val="24"/>
              </w:rPr>
              <w:t>Таким образом, по предложению экспертной группы необходимая валовая выручка составит 4 897,44 тыс. руб., в том числе расходы – 4 664,23 тыс. руб., предпринимательская прибыль – 233,21 тыс. руб.</w:t>
            </w:r>
          </w:p>
          <w:p w14:paraId="446752E0" w14:textId="77777777" w:rsidR="00173A17" w:rsidRPr="00E2756B" w:rsidRDefault="00173A17" w:rsidP="001E75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7" w14:paraId="5D4125A9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1F24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8647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3C8F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Основание изменения</w:t>
            </w:r>
          </w:p>
        </w:tc>
      </w:tr>
      <w:tr w:rsidR="00173A17" w14:paraId="58D8EDCC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EA94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FC27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3E3E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B409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94CED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A17" w14:paraId="5AA4D7A9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792D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7F80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8 067,59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2DC7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4 664,23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FA1D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-3 403,36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1415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0DC4746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250A1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Операционные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BE8F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4 590,96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5E3B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1 814,68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EA71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-2 776,28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D30F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FA9DD43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73693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57FD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1 944,46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63E2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156,24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B89A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-1 788,22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DA96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пунктом 18 Методических указаний</w:t>
            </w:r>
          </w:p>
        </w:tc>
      </w:tr>
      <w:tr w:rsidR="00173A17" w14:paraId="2A3BABED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A60A8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AD6A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AE69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E1C9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B4A3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A9CA6CB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F6B8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DF2D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ADEA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D7D5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D90E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B8FE63A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7680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F9E4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8D92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047B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C5CC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E2F1CB3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03827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71E6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59D3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D64B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D34C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4652DA16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CD2E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работ и услуг, выполняемые сторонними организациями и индивидуальными предпринимателями, связанные с эксплуатацией </w:t>
            </w: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централизованных систем либо объектов в составе таких систем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298A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7A1E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BD7B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F606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D406C69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5697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AD9A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1 944,46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CF87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156,24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5DA4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-1 788,22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3D432" w14:textId="566D16B5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труда основного производственного персонала рассчитаны  исходя из  численности персонала  на основании штатного расписания на 2020 год в пределах нормативной численности работников, определенной в соответствии с приказом Госстроя России от 22.03.1999 № 66  и средней заработной платы организации на основании данных бухгалтерского учета по счету 70 «Расчеты с персоналом по оплате труда» за январь - апрель 2020 года по водоснабжению.  Среднемесячная оплата труда не превышает среднюю заработную плату, учтенную в тарифах регулируемых организаций Калужской </w:t>
            </w:r>
            <w:r w:rsidR="001E758E" w:rsidRPr="00E2756B">
              <w:rPr>
                <w:rFonts w:ascii="Times New Roman" w:hAnsi="Times New Roman" w:cs="Times New Roman"/>
                <w:sz w:val="20"/>
                <w:szCs w:val="20"/>
              </w:rPr>
              <w:t>области на</w:t>
            </w: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 2020 год.</w:t>
            </w:r>
          </w:p>
        </w:tc>
      </w:tr>
      <w:tr w:rsidR="00173A17" w14:paraId="2C8F935A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BE7DD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ADC8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1 493,44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B1FA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B1A9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-1 373,44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9196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B4B3A6B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4B9D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B28C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83DC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79D5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BF178" w14:textId="3AE74153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Включены 0,5 единицы должности мастера по ремонту и эксплуатации канализационных сетей и сооружений на основании с расчета нормативной численности в соответствии с приказом Госстроя № 66 от 22.03.1999.    Исключены 4 единицы машиниста насосных установок, так как в соответствии приказом </w:t>
            </w:r>
            <w:r w:rsidR="001E758E" w:rsidRPr="00E2756B">
              <w:rPr>
                <w:rFonts w:ascii="Times New Roman" w:hAnsi="Times New Roman" w:cs="Times New Roman"/>
                <w:sz w:val="20"/>
                <w:szCs w:val="20"/>
              </w:rPr>
              <w:t>Госстроя №</w:t>
            </w: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 66 от 22.03.1999 раздел 2.2 наличие данной категории работников на канализационных сетях не предусмотрено. Организация не эксплуатирует и не обладает правом владения на насосные установки.</w:t>
            </w:r>
          </w:p>
        </w:tc>
      </w:tr>
      <w:tr w:rsidR="00173A17" w14:paraId="408C029B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D130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0E76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24 890,67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A937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9154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-4 890,67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209B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D4B394C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CCC93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0FC3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451,02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7C70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36,24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A5E1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-414,78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83AF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-1)</w:t>
            </w:r>
          </w:p>
        </w:tc>
      </w:tr>
      <w:tr w:rsidR="00173A17" w14:paraId="1B362803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20674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E751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E00B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E49E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6834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327444B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9B4F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F175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FD26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88DA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FAC7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4700147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3B188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EA8C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D326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48DE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414D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5C1DE5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DC8BA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A496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FF43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8304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1E9C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C34A7EF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B9D27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8AA1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16AA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4602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9A4D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05D65146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B7D0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амортизацию транспорта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7488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679F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1326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6513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36C7964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9704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62AD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6C21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0BE7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82B2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5F324B2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9E5B1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D948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73DE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FB33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B4A6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4DBFA3E1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3861F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D3BB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896E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1D0F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A84A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82744C7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EC4D5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1EDE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09E8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F1C5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F8B1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AEABED1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636D9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2F14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1 651,34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F37D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1 271,17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D0CB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-380,17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CABE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0281240D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716D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50C4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355,45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5D50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355,45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9DBA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C63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Данные расходы приняты на основании сметы по ремонту напорного коллектора в д. Кривское, дефектной ведомости и акта технического обследования канализационно-напорного коллектора на 2020 год.</w:t>
            </w:r>
          </w:p>
        </w:tc>
      </w:tr>
      <w:tr w:rsidR="00173A17" w14:paraId="23B5F916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0AD03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A1EF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2B02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D0B3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3C2D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0362425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19211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D5E2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1 295,89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2F9E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915,72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A020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-380,17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CFB6C" w14:textId="2EB0FD25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труда ремонтного персонала рассчитаны исходя из  численности на основании штатного расписания на 2020 год в пределах нормативной численности работников, определенной в соответствии с приказом Госстроя России от 22.03.1999 № 66  и средней заработной платы организации на основании данных бухгалтерского учета по счету 70 «Расчеты с персоналом по оплате труда» за январь - апрель 2020 года по водоснабжению, а так же на основании штатного расписания на 2020 год в виду отсутствия фактических данных по должности  электрогазосварщика. Среднемесячная оплата труда не превышает среднюю заработную плату, учтенную в тарифах регулируемых организаций Калужской </w:t>
            </w:r>
            <w:r w:rsidR="001E758E" w:rsidRPr="00E2756B">
              <w:rPr>
                <w:rFonts w:ascii="Times New Roman" w:hAnsi="Times New Roman" w:cs="Times New Roman"/>
                <w:sz w:val="20"/>
                <w:szCs w:val="20"/>
              </w:rPr>
              <w:t>области за</w:t>
            </w: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</w:tr>
      <w:tr w:rsidR="00173A17" w14:paraId="50FD4904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564FA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F93E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995,31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8D60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703,32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7F30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-291,99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44D7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40845DC7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6F66C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84A2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1877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7D7F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628B4" w14:textId="2DB350DA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Включены 0,5 единицы на должность электрогазосварщика и 2,5 единицы должности слесаря АВР в пределах расчета нормативной численности на основании приказа Госстроя № 66 от 22.03.1999.  Исключены 0,5 единицы должности слесаря АВР в соответствии с расчетом </w:t>
            </w: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нормативной численности и 1 единица электромонтера по ремонту и обслуживанию электрооборудования, так как в соответствии приказом </w:t>
            </w:r>
            <w:r w:rsidR="001E758E" w:rsidRPr="00E2756B">
              <w:rPr>
                <w:rFonts w:ascii="Times New Roman" w:hAnsi="Times New Roman" w:cs="Times New Roman"/>
                <w:sz w:val="20"/>
                <w:szCs w:val="20"/>
              </w:rPr>
              <w:t>Госстроя №</w:t>
            </w: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 66 от 22.03.1999 раздел 2.2 наличие данной категории работников на канализационных сетях не предусмотрено.</w:t>
            </w:r>
          </w:p>
        </w:tc>
      </w:tr>
      <w:tr w:rsidR="00173A17" w14:paraId="45486642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E73B6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Среднемесячная оплата труда ремонтного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9CD7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20 735,63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CC2A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19 536,67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4216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-1 198,96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A17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5B23753C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7D5A3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B71A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300,58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410A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F894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-88,18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100A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-1)</w:t>
            </w:r>
          </w:p>
        </w:tc>
      </w:tr>
      <w:tr w:rsidR="00173A17" w14:paraId="5AD00EFB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55E2D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AED5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995,16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F17C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387,27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F7DC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-607,89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9821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FDAED89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BAB97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2BC1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6781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B3F3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-7,56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3ED1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4FFD38A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76F5F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857B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AF1C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9823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5FAB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Данная статья расходов включена исходя из фактических расходов организации за январь-апрель 2020 года на основании договора на обслуживание сети  интернет с ООО «</w:t>
            </w:r>
            <w:proofErr w:type="spellStart"/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Макснет</w:t>
            </w:r>
            <w:proofErr w:type="spellEnd"/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 системы» от 05.02.2019 № 56018 и приложенных к нему актов об оказании услуг,   платежных поручений за 2020 год в  доле приходящейся на вид деятельности водоотведение, в соответствии с учетной политикой организации (приложение 1 к учетной политике, стр. 2) (базой для распределения является выручка пропорционально по видам деятельности организации)</w:t>
            </w:r>
          </w:p>
        </w:tc>
      </w:tr>
      <w:tr w:rsidR="00173A17" w14:paraId="7AC8FA75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30A3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A77A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C2B1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CDAE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6C4C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0190EBD7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D62CD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4158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AF20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4A8E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15B8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5E969FE0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44796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B0CF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D9CB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2CC8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DFCC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327F52D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048D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637B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5483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152A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CD29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471818F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57EA9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905E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64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FD1C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-2,56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EDE4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Данная статья расходов включена исходя из фактических расходов, понесенных и оплаченных организацией в 2020 году на основании договора на использование программного продукта с ООО «</w:t>
            </w:r>
            <w:proofErr w:type="spellStart"/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СофтСервис</w:t>
            </w:r>
            <w:proofErr w:type="spellEnd"/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» от 06.03.2019 № 206-ССЭТ, счетов-фактур и платежных поручений  по данному договору за 2020 год  в  доле приходящейся на вид деятельности водоотведение , в соответствии с учетной политикой организации </w:t>
            </w: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(приложение 1 к учетной политике, стр. 2)  (базой для распределения является выручка пропорционально по видам деятельности организации)</w:t>
            </w:r>
          </w:p>
        </w:tc>
      </w:tr>
      <w:tr w:rsidR="00173A17" w14:paraId="79636C5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44741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E6FA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770,83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DB70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253,06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44AB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-517,77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2EB8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 рассчитаны исходя из  численности персонала, определенной на основании штатного расписания на 2020 год и средней заработной платы организации, рассчитанной в размере аналогичном фактическим расходам на оплату по водоснабжению за январь-апрель 2020 года на основании  оборотно-сальдовой ведомости по сотрудникам по счету 70 «Заработная плата», анализа счета70 «Заработная плата» по сотрудникам.</w:t>
            </w:r>
          </w:p>
        </w:tc>
      </w:tr>
      <w:tr w:rsidR="00173A17" w14:paraId="770B267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0585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8E81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592,04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C1A3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194,36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6666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-397,68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26C2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C9FDEED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FCCCC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063B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D058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A959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9918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Включены 0,5 единицы должности генерального директора на основании штатного расписания организации на 2020 год</w:t>
            </w:r>
          </w:p>
        </w:tc>
      </w:tr>
      <w:tr w:rsidR="00173A17" w14:paraId="2AF2037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7F481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BBA8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49 336,67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E9ED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32 393,33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0458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-16 943,34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7C79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0E3445AF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BCAD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269F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6D40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036E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-120,1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8190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с учетом 0,2% в соответствии с классом профессионального риска -1)</w:t>
            </w:r>
          </w:p>
        </w:tc>
      </w:tr>
      <w:tr w:rsidR="00173A17" w14:paraId="53DF6826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209E4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235F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206,4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CF8C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123,84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1D9F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-82,56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3BE7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договора аренды нежилого помещения № 01/02/2019 от 01.02.2019 организации с Шухзардиным А.А. и приложенных к нему платежных поручений, а также на основании договора аренды транспортного средства без экипажа с физическим лицом от 01.01.2020 № 2 в  доле приходящейся на вид деятельности водоотведение , в соответствии с учетной политикой организации (приложение 1 к учетной политике, стр. 2)  (базой для распределения является выручка пропорционально по видам деятельности организации)</w:t>
            </w:r>
          </w:p>
        </w:tc>
      </w:tr>
      <w:tr w:rsidR="00173A17" w14:paraId="4DC5482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B501F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D98B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7999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B0C4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711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0452B4B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DFC1A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D358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C66B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C99E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8E13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D03492A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A8FB9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Страхование производственных объектов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87DE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1FA2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5924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9F39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A8289C3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AB184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8E5F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A82A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41A2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C85B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4D74934C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BADDF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A080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38B8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B90D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0F5D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51214A8A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3A20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CA59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955A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8435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CE9C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98786FA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56268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CF43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0CF6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230F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E09B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5750A80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1E1F5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67C9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6D88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D1F1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F693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6786AA0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092F7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2C5A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576,1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4784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7C81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-576,1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4C57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Исключены, так как организацией не представлены документы, подтверждающие наличие права владения и эксплуатацию объектов централизованных систем водоотведения, потребляющих электроэнергию (канализационные насосные станции и т.д.)</w:t>
            </w:r>
          </w:p>
        </w:tc>
      </w:tr>
      <w:tr w:rsidR="00173A17" w14:paraId="190441BD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F7AC1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516E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2 900,53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C7F2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2 849,55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5B4F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-50,98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CF08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453ABBC6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AA934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A1CE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2 900,53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3FB7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2 849,55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423B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-50,98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AB83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C7F3AD5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27D02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2AD0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42C8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CE1C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D714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0062A4F1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0E441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17A9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8B8B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21CD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A3DD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E17E717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E6A7F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865C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54AC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272B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76F5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9D519D4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92433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E9B9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381E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BBF3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4106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E385125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CA385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A066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546A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48AA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8DB0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6008439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DE6F7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2423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2D91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F845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441E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439C53F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D419D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B2C1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7DC4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9784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87E1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C02907F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0BEA8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EF26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6E65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F479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91C6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5BAEE150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E61A2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4435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74E7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B305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A10A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07A5945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6AECD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CC82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7B6F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40FE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304C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A7EB1A2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FA141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A17B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DF21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E732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40AC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559599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1945B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52E3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BC96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B50A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32D9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91A128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EDE3A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0583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6486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5217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2927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2D6F36C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5DECC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1077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FB0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722F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590F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91CF3ED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57011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9235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E122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C4A6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FF7A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4278E34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6834C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7B6E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2 900,53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1846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2 849,55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1494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-50,98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C9F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услуги по водоотведению и очистке сточных вод, оказываемых  МП г. Обнинска "Водоканал", рассчитаны исходя из учтенного объема отпуска сточных вод,  и  тарифа на водоотведение на территории МО ГП "Деревня Кривское", установленного для МП г. Обнинска "Водоканал" на 2020 год с 01.07.20.  Объем определен на основании фактических данных за 2018 год</w:t>
            </w:r>
          </w:p>
        </w:tc>
      </w:tr>
      <w:tr w:rsidR="00173A17" w14:paraId="18F34E3D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71E55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37A9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3F42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195,98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9BC8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-11,72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3655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0D4C5C7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D446A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6709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13,96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9779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EB56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2E5F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8A44F41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41C1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7916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1E27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A35D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14D6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AAF3040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11F5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D4E8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AFE0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0B3C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DB39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CB56ABB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AC7EA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42C7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B47A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954E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BA77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090BD72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C7F98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связанные с уплатой налогов и сборов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7C73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1FFB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AEF1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1F06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5ACDDC73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074F6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3E43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6427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14D3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CEDD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5F8107C9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F0537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7D5D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452A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4BD6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3946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C92286B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49816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B7DA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12F1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845A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49EF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4CA4B9CF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5526F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843B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9AF3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2FF7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F13B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9493699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921F9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93D4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F9A6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2B58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A2BA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44B8566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08DBC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A2C5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373D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023C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A2C8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41547E7F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956AC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EDC4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4B5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437F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4F5C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5022E0B7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5AD5E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8EA2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CCA4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9621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49A5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EE8E754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39AC7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5BD6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EFA1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D4BF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886D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49FF685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F4E78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219F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B512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4398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ECD8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7DD75EE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2C990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B921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09B6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7965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F571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D42F9BD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22479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DF6E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681B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B3C5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6E74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50A1DB57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39FED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B1FE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32AA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8CED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FD8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23ED600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87464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60DB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9538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6AD2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E5B3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D58AC13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4A998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B262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287D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24AB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9929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2B9308E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E4837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554C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308D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6641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A8D3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09ED2A2B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897CA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4294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05D3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5BBD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3CFF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E95A3FF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77063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F6BB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43EF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FA03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2F1D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6E89835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13903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51DF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AE8D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359B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5CAFA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7E2C3E1D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41CB9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E952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D295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7307E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C155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07CFC73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7DA9F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AB17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6384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A193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644D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75E7CF2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8EA9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6BCC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57197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3906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6FA55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9076E91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C49AD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32BB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007D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94AC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56F9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91F4A40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981AC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08AE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8 067,59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CF36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4 664,23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31841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-3 403,36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63AE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3CC268FE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03CE9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D914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C554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1170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D6040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614A9A93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2A7ED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0E5C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C8D84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DC298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EF93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2EA9B578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8E813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BDF3F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02C29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AE42D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096E6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A17" w14:paraId="1610DFD1" w14:textId="77777777" w:rsidTr="00E072A6">
        <w:trPr>
          <w:gridAfter w:val="1"/>
          <w:wAfter w:w="80" w:type="dxa"/>
          <w:trHeight w:val="60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3941C" w14:textId="77777777" w:rsidR="00173A17" w:rsidRPr="00E2756B" w:rsidRDefault="00173A17" w:rsidP="0030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5D602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FCA6B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233,21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52D7C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>-170,12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EBF63" w14:textId="77777777" w:rsidR="00173A17" w:rsidRPr="00E2756B" w:rsidRDefault="00173A17" w:rsidP="00302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6B">
              <w:rPr>
                <w:rFonts w:ascii="Times New Roman" w:hAnsi="Times New Roman" w:cs="Times New Roman"/>
                <w:sz w:val="20"/>
                <w:szCs w:val="20"/>
              </w:rPr>
              <w:t xml:space="preserve">Заявленная организацией предпринимательская прибыль учтена в размере 5% от расходов на основании пункта 32 (1) Методических указаний по расчету регулируемых тарифов в сфере водоснабжения и водоотведения, утвержденными Приказом ФСТ России от 27.12.2013 № 1746-э, так как организация является гарантирующей в соответствии </w:t>
            </w:r>
            <w:r w:rsidRPr="00E27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постановлением администрации МО «Деревня «Кривское» № 58 от 19.03.2019</w:t>
            </w:r>
          </w:p>
        </w:tc>
      </w:tr>
      <w:tr w:rsidR="00173A17" w14:paraId="2FA3EC05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center"/>
            <w:hideMark/>
          </w:tcPr>
          <w:p w14:paraId="20672284" w14:textId="77777777" w:rsidR="00173A17" w:rsidRPr="00271C74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5. Необходимая валовая выручка.</w:t>
            </w:r>
          </w:p>
        </w:tc>
      </w:tr>
      <w:tr w:rsidR="00173A17" w14:paraId="75090C46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center"/>
            <w:hideMark/>
          </w:tcPr>
          <w:p w14:paraId="3EA257A4" w14:textId="77777777" w:rsidR="00173A17" w:rsidRPr="00271C74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>Необходимая валовая выручка в 2020 году составит: по расчету организации 8 470,92 тыс. руб., по расчету экспертной группы 4 897,44 тыс. руб., отклонение составит -3 573,48 тыс. руб.</w:t>
            </w:r>
          </w:p>
        </w:tc>
      </w:tr>
      <w:tr w:rsidR="00173A17" w14:paraId="7323E530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vAlign w:val="center"/>
            <w:hideMark/>
          </w:tcPr>
          <w:p w14:paraId="7728CBEB" w14:textId="77777777" w:rsidR="00173A17" w:rsidRPr="00271C74" w:rsidRDefault="00173A17" w:rsidP="0030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C74">
              <w:rPr>
                <w:rFonts w:ascii="Times New Roman" w:hAnsi="Times New Roman"/>
                <w:sz w:val="24"/>
                <w:szCs w:val="24"/>
              </w:rPr>
              <w:tab/>
              <w:t>Экспертная группа предлагает установить на 2020 год для общества с ограниченной ответственностью Управляющая компания «Возрождение» тарифы в следующих размерах:</w:t>
            </w:r>
            <w:r w:rsidRPr="00271C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73A17" w14:paraId="6C954E32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C5527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B969B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D7F31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73A17" w14:paraId="67C40ADA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5B45F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5830B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1115D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10.07-31.12 2020</w:t>
            </w:r>
          </w:p>
        </w:tc>
      </w:tr>
      <w:tr w:rsidR="00173A17" w14:paraId="6B6BDED9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146F4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73A17" w14:paraId="2E07745F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10D5D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A7D3A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62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30F1B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</w:tr>
      <w:tr w:rsidR="00173A17" w14:paraId="38820EF4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83A33" w14:textId="77777777" w:rsidR="00173A17" w:rsidRDefault="00173A17" w:rsidP="003024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DA0A1" w14:textId="77777777" w:rsidR="00173A17" w:rsidRDefault="00173A17" w:rsidP="003024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7FBC3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73A17" w14:paraId="25338C84" w14:textId="77777777" w:rsidTr="00E072A6">
        <w:trPr>
          <w:gridAfter w:val="1"/>
          <w:wAfter w:w="80" w:type="dxa"/>
          <w:trHeight w:val="60"/>
        </w:trPr>
        <w:tc>
          <w:tcPr>
            <w:tcW w:w="97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4796F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173A17" w14:paraId="4F6EA9AC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25ABA" w14:textId="77777777" w:rsidR="00173A17" w:rsidRDefault="00173A17" w:rsidP="0030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F62F2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62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39B6E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</w:tr>
      <w:tr w:rsidR="00173A17" w14:paraId="5653501D" w14:textId="77777777" w:rsidTr="00E072A6">
        <w:trPr>
          <w:gridAfter w:val="1"/>
          <w:wAfter w:w="80" w:type="dxa"/>
          <w:trHeight w:val="60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70013D" w14:textId="77777777" w:rsidR="00173A17" w:rsidRDefault="00173A17" w:rsidP="003024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EC69E9" w14:textId="77777777" w:rsidR="00173A17" w:rsidRDefault="00173A17" w:rsidP="003024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27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A7E6F0" w14:textId="77777777" w:rsidR="00173A17" w:rsidRDefault="00173A17" w:rsidP="00302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55355AF3" w14:textId="77777777" w:rsidR="00173A17" w:rsidRDefault="00173A17" w:rsidP="00173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C74">
        <w:rPr>
          <w:rFonts w:ascii="Times New Roman" w:hAnsi="Times New Roman"/>
          <w:sz w:val="24"/>
          <w:szCs w:val="24"/>
        </w:rPr>
        <w:t>Экспертная оценка по установлению тарифов для организации изложена в экспертном заключении и приложениях к нему</w:t>
      </w:r>
    </w:p>
    <w:p w14:paraId="7AEF0420" w14:textId="77777777" w:rsidR="00173A17" w:rsidRDefault="00173A17" w:rsidP="00173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C74">
        <w:rPr>
          <w:rFonts w:ascii="Times New Roman" w:hAnsi="Times New Roman"/>
          <w:sz w:val="24"/>
          <w:szCs w:val="24"/>
        </w:rPr>
        <w:t>Предлагае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271C74">
        <w:rPr>
          <w:rFonts w:ascii="Times New Roman" w:hAnsi="Times New Roman"/>
          <w:sz w:val="24"/>
          <w:szCs w:val="24"/>
        </w:rPr>
        <w:t xml:space="preserve">комиссии установить для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 xml:space="preserve">Управляющая </w:t>
      </w:r>
      <w:r w:rsidRPr="00271C74">
        <w:rPr>
          <w:rFonts w:ascii="Times New Roman" w:hAnsi="Times New Roman"/>
          <w:sz w:val="24"/>
          <w:szCs w:val="24"/>
        </w:rPr>
        <w:t>компания «Возрождение» вышеуказанные тарифы</w:t>
      </w:r>
      <w:r>
        <w:rPr>
          <w:rFonts w:ascii="Times New Roman" w:hAnsi="Times New Roman"/>
          <w:sz w:val="24"/>
          <w:szCs w:val="24"/>
        </w:rPr>
        <w:t>.</w:t>
      </w:r>
    </w:p>
    <w:p w14:paraId="3E7E3663" w14:textId="77777777" w:rsidR="00173A17" w:rsidRDefault="00173A17" w:rsidP="00173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F94A10" w14:textId="77777777" w:rsidR="00173A17" w:rsidRPr="00E5569A" w:rsidRDefault="00173A17" w:rsidP="00173A17">
      <w:pPr>
        <w:pStyle w:val="a5"/>
        <w:tabs>
          <w:tab w:val="left" w:pos="709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69A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189AEFFA" w14:textId="77777777" w:rsidR="00173A17" w:rsidRDefault="00173A17" w:rsidP="00173A17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5569A">
        <w:rPr>
          <w:rFonts w:ascii="Times New Roman" w:hAnsi="Times New Roman"/>
          <w:bCs/>
          <w:sz w:val="24"/>
          <w:szCs w:val="24"/>
        </w:rPr>
        <w:t>Установить и ввести в действие с 10 июля</w:t>
      </w:r>
      <w:r w:rsidR="00E7218B">
        <w:rPr>
          <w:rFonts w:ascii="Times New Roman" w:hAnsi="Times New Roman"/>
          <w:bCs/>
          <w:sz w:val="24"/>
          <w:szCs w:val="24"/>
        </w:rPr>
        <w:t xml:space="preserve"> </w:t>
      </w:r>
      <w:r w:rsidRPr="00E5569A">
        <w:rPr>
          <w:rFonts w:ascii="Times New Roman" w:hAnsi="Times New Roman"/>
          <w:bCs/>
          <w:sz w:val="24"/>
          <w:szCs w:val="24"/>
        </w:rPr>
        <w:t xml:space="preserve">2020 года </w:t>
      </w:r>
      <w:r>
        <w:rPr>
          <w:rFonts w:ascii="Times New Roman" w:hAnsi="Times New Roman"/>
          <w:bCs/>
          <w:sz w:val="24"/>
          <w:szCs w:val="24"/>
        </w:rPr>
        <w:t xml:space="preserve">предложенные </w:t>
      </w:r>
      <w:r w:rsidRPr="00E5569A">
        <w:rPr>
          <w:rFonts w:ascii="Times New Roman" w:hAnsi="Times New Roman"/>
          <w:bCs/>
          <w:sz w:val="24"/>
          <w:szCs w:val="24"/>
        </w:rPr>
        <w:t>тарифы на водоотведение для общества с ограниченной ответственностью Управляющая компания «Возрождение», применяющего упрощенную систему налогообложения, на 2020 год.</w:t>
      </w:r>
    </w:p>
    <w:p w14:paraId="0AF50B16" w14:textId="77777777" w:rsidR="00173A17" w:rsidRPr="00E5569A" w:rsidRDefault="00173A17" w:rsidP="00173A17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B7067B" w14:textId="3907A268" w:rsidR="00173A17" w:rsidRPr="00E5569A" w:rsidRDefault="00173A17" w:rsidP="00173A17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экспертным заключением </w:t>
      </w:r>
      <w:r w:rsidRPr="00271C74">
        <w:rPr>
          <w:rFonts w:ascii="Times New Roman" w:hAnsi="Times New Roman"/>
          <w:b/>
          <w:sz w:val="24"/>
          <w:szCs w:val="24"/>
        </w:rPr>
        <w:t>от 09</w:t>
      </w:r>
      <w:r>
        <w:rPr>
          <w:rFonts w:ascii="Times New Roman" w:hAnsi="Times New Roman"/>
          <w:b/>
          <w:sz w:val="24"/>
          <w:szCs w:val="24"/>
        </w:rPr>
        <w:t>.06.</w:t>
      </w:r>
      <w:r w:rsidRPr="00271C74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5619">
        <w:rPr>
          <w:rFonts w:ascii="Times New Roman" w:hAnsi="Times New Roman"/>
          <w:b/>
          <w:sz w:val="24"/>
          <w:szCs w:val="24"/>
        </w:rPr>
        <w:t xml:space="preserve">по делу </w:t>
      </w:r>
      <w:r w:rsidRPr="00271C74">
        <w:rPr>
          <w:rFonts w:ascii="Times New Roman" w:hAnsi="Times New Roman"/>
          <w:b/>
          <w:sz w:val="24"/>
          <w:szCs w:val="24"/>
        </w:rPr>
        <w:t>№ 171/В-03/1916-20</w:t>
      </w: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форме приказа (прилагается), голосовали единогласно</w:t>
      </w:r>
      <w:r w:rsidR="00E721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75E5982" w14:textId="12A8E38A" w:rsidR="0031080F" w:rsidRDefault="0031080F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DEA70" w14:textId="77777777" w:rsidR="006552D4" w:rsidRDefault="006552D4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CC50A" w14:textId="77777777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14:paraId="6E3FF14A" w14:textId="77777777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889DD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166D9F02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9BA4A" w14:textId="77777777"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06EC62F5" w14:textId="77777777" w:rsidR="004A5A6A" w:rsidRDefault="004A5A6A" w:rsidP="004A5A6A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CFBB7" w14:textId="77777777" w:rsidR="004A5A6A" w:rsidRPr="00CD6A98" w:rsidRDefault="004A5A6A" w:rsidP="004A5A6A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____Л.И. Кучма</w:t>
      </w:r>
    </w:p>
    <w:p w14:paraId="6271637C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27B3E" w14:textId="77777777"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13EC248" w14:textId="77777777" w:rsidR="007B7419" w:rsidRPr="00CD6A98" w:rsidRDefault="007B7419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005F1" w14:textId="77777777" w:rsidR="00F678A6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14:paraId="7EE0DAD2" w14:textId="77777777" w:rsidR="00F678A6" w:rsidRDefault="00F678A6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7A1A7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74C787B7" w14:textId="1D3EEC64" w:rsidR="00975619" w:rsidRDefault="00975619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F8548" w14:textId="14993D57" w:rsidR="006552D4" w:rsidRDefault="006552D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2E6E8" w14:textId="77777777" w:rsidR="006552D4" w:rsidRPr="00CD6A98" w:rsidRDefault="006552D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p w14:paraId="0A697207" w14:textId="77777777"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B72DB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2DB9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2DB9">
        <w:rPr>
          <w:rFonts w:ascii="Times New Roman" w:hAnsi="Times New Roman" w:cs="Times New Roman"/>
          <w:b/>
          <w:bCs/>
          <w:sz w:val="24"/>
          <w:szCs w:val="24"/>
        </w:rPr>
        <w:t>Агафонова</w:t>
      </w:r>
    </w:p>
    <w:sectPr w:rsidR="00130841" w:rsidRPr="00CD6A98" w:rsidSect="007B7419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B132" w14:textId="77777777" w:rsidR="00EE2849" w:rsidRDefault="00EE2849" w:rsidP="00385DEB">
      <w:pPr>
        <w:spacing w:after="0" w:line="240" w:lineRule="auto"/>
      </w:pPr>
      <w:r>
        <w:separator/>
      </w:r>
    </w:p>
  </w:endnote>
  <w:endnote w:type="continuationSeparator" w:id="0">
    <w:p w14:paraId="121E0D4E" w14:textId="77777777" w:rsidR="00EE2849" w:rsidRDefault="00EE2849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14:paraId="1FCC8A85" w14:textId="77777777" w:rsidR="00921579" w:rsidRDefault="009215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4EAC884" w14:textId="77777777" w:rsidR="00921579" w:rsidRDefault="009215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E3560" w14:textId="77777777" w:rsidR="00921579" w:rsidRDefault="00921579">
    <w:pPr>
      <w:pStyle w:val="a3"/>
    </w:pPr>
  </w:p>
  <w:p w14:paraId="0BD26358" w14:textId="77777777" w:rsidR="00921579" w:rsidRDefault="009215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E487" w14:textId="77777777" w:rsidR="00EE2849" w:rsidRDefault="00EE2849" w:rsidP="00385DEB">
      <w:pPr>
        <w:spacing w:after="0" w:line="240" w:lineRule="auto"/>
      </w:pPr>
      <w:r>
        <w:separator/>
      </w:r>
    </w:p>
  </w:footnote>
  <w:footnote w:type="continuationSeparator" w:id="0">
    <w:p w14:paraId="6D783C2B" w14:textId="77777777" w:rsidR="00EE2849" w:rsidRDefault="00EE2849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11B"/>
    <w:multiLevelType w:val="hybridMultilevel"/>
    <w:tmpl w:val="44725C98"/>
    <w:lvl w:ilvl="0" w:tplc="BE681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E7E5136"/>
    <w:multiLevelType w:val="hybridMultilevel"/>
    <w:tmpl w:val="514070FA"/>
    <w:lvl w:ilvl="0" w:tplc="A79696F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D3115C"/>
    <w:multiLevelType w:val="hybridMultilevel"/>
    <w:tmpl w:val="30602DE8"/>
    <w:lvl w:ilvl="0" w:tplc="8C841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E12026"/>
    <w:multiLevelType w:val="hybridMultilevel"/>
    <w:tmpl w:val="5ACCCC42"/>
    <w:lvl w:ilvl="0" w:tplc="E66E9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F7C6333"/>
    <w:multiLevelType w:val="hybridMultilevel"/>
    <w:tmpl w:val="C242F732"/>
    <w:lvl w:ilvl="0" w:tplc="923449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056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874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19D6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637"/>
    <w:rsid w:val="00115DD0"/>
    <w:rsid w:val="00120392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3FD6"/>
    <w:rsid w:val="00155C7E"/>
    <w:rsid w:val="00156439"/>
    <w:rsid w:val="00156B2E"/>
    <w:rsid w:val="001570A6"/>
    <w:rsid w:val="00160693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A17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7FE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2E62"/>
    <w:rsid w:val="001B440D"/>
    <w:rsid w:val="001B5D23"/>
    <w:rsid w:val="001B5DF7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4BD7"/>
    <w:rsid w:val="001E50FF"/>
    <w:rsid w:val="001E6311"/>
    <w:rsid w:val="001E6C68"/>
    <w:rsid w:val="001E710E"/>
    <w:rsid w:val="001E758E"/>
    <w:rsid w:val="001F0893"/>
    <w:rsid w:val="001F09F2"/>
    <w:rsid w:val="001F0EFF"/>
    <w:rsid w:val="001F30A7"/>
    <w:rsid w:val="001F3199"/>
    <w:rsid w:val="001F3706"/>
    <w:rsid w:val="0020067D"/>
    <w:rsid w:val="00200FF0"/>
    <w:rsid w:val="002025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27A18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464"/>
    <w:rsid w:val="003026C2"/>
    <w:rsid w:val="00304775"/>
    <w:rsid w:val="00305604"/>
    <w:rsid w:val="00306C31"/>
    <w:rsid w:val="0031080F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1D66"/>
    <w:rsid w:val="00402FCB"/>
    <w:rsid w:val="00403414"/>
    <w:rsid w:val="004050A3"/>
    <w:rsid w:val="0040556C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65B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42F8"/>
    <w:rsid w:val="00475FBB"/>
    <w:rsid w:val="00477F6C"/>
    <w:rsid w:val="004804B2"/>
    <w:rsid w:val="00481746"/>
    <w:rsid w:val="00481D0E"/>
    <w:rsid w:val="00481E77"/>
    <w:rsid w:val="004820E0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2683"/>
    <w:rsid w:val="004A36BB"/>
    <w:rsid w:val="004A40CC"/>
    <w:rsid w:val="004A557D"/>
    <w:rsid w:val="004A5A6A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452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1F75"/>
    <w:rsid w:val="00503E9E"/>
    <w:rsid w:val="00505FBB"/>
    <w:rsid w:val="00507420"/>
    <w:rsid w:val="005126A9"/>
    <w:rsid w:val="00512F13"/>
    <w:rsid w:val="00513FC3"/>
    <w:rsid w:val="00514437"/>
    <w:rsid w:val="00516875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FD8"/>
    <w:rsid w:val="00565CFE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497B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94A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205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830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2D4"/>
    <w:rsid w:val="00655506"/>
    <w:rsid w:val="00655CAE"/>
    <w:rsid w:val="006567E0"/>
    <w:rsid w:val="006568FA"/>
    <w:rsid w:val="00657277"/>
    <w:rsid w:val="00657B85"/>
    <w:rsid w:val="0066081A"/>
    <w:rsid w:val="00662926"/>
    <w:rsid w:val="006640F6"/>
    <w:rsid w:val="0066640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240A"/>
    <w:rsid w:val="00683FB6"/>
    <w:rsid w:val="006840C8"/>
    <w:rsid w:val="00686237"/>
    <w:rsid w:val="006867EF"/>
    <w:rsid w:val="00686921"/>
    <w:rsid w:val="00686BEE"/>
    <w:rsid w:val="006873C8"/>
    <w:rsid w:val="0068742C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0BC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5CD9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502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77EEF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EAB"/>
    <w:rsid w:val="008E60CE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6DD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1579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561DE"/>
    <w:rsid w:val="0096041E"/>
    <w:rsid w:val="0096049E"/>
    <w:rsid w:val="00961EBF"/>
    <w:rsid w:val="00962581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5619"/>
    <w:rsid w:val="009775DA"/>
    <w:rsid w:val="009818C6"/>
    <w:rsid w:val="00982060"/>
    <w:rsid w:val="00983748"/>
    <w:rsid w:val="0098380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47F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D3D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612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3372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430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3F79"/>
    <w:rsid w:val="00D044A7"/>
    <w:rsid w:val="00D056CB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292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607A"/>
    <w:rsid w:val="00DE7386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2A6"/>
    <w:rsid w:val="00E07A1A"/>
    <w:rsid w:val="00E11658"/>
    <w:rsid w:val="00E12DFF"/>
    <w:rsid w:val="00E137A2"/>
    <w:rsid w:val="00E14E32"/>
    <w:rsid w:val="00E14ED5"/>
    <w:rsid w:val="00E201EE"/>
    <w:rsid w:val="00E206FA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E85"/>
    <w:rsid w:val="00E619F2"/>
    <w:rsid w:val="00E62169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200C"/>
    <w:rsid w:val="00E7218B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0732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2849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7037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5B43-00EC-45A9-9312-FC85F61F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27</Pages>
  <Words>11215</Words>
  <Characters>63932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Агафонова Елена Юрьевна</cp:lastModifiedBy>
  <cp:revision>177</cp:revision>
  <cp:lastPrinted>2019-12-19T22:50:00Z</cp:lastPrinted>
  <dcterms:created xsi:type="dcterms:W3CDTF">2019-12-11T08:09:00Z</dcterms:created>
  <dcterms:modified xsi:type="dcterms:W3CDTF">2020-06-18T12:03:00Z</dcterms:modified>
</cp:coreProperties>
</file>