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673" w:type="dxa"/>
        <w:tblInd w:w="0" w:type="dxa"/>
        <w:tblLook w:val="04A0" w:firstRow="1" w:lastRow="0" w:firstColumn="1" w:lastColumn="0" w:noHBand="0" w:noVBand="1"/>
      </w:tblPr>
      <w:tblGrid>
        <w:gridCol w:w="567"/>
        <w:gridCol w:w="202"/>
        <w:gridCol w:w="719"/>
        <w:gridCol w:w="613"/>
        <w:gridCol w:w="508"/>
        <w:gridCol w:w="164"/>
        <w:gridCol w:w="451"/>
        <w:gridCol w:w="165"/>
        <w:gridCol w:w="564"/>
        <w:gridCol w:w="467"/>
        <w:gridCol w:w="302"/>
        <w:gridCol w:w="165"/>
        <w:gridCol w:w="97"/>
        <w:gridCol w:w="240"/>
        <w:gridCol w:w="164"/>
        <w:gridCol w:w="63"/>
        <w:gridCol w:w="25"/>
        <w:gridCol w:w="246"/>
        <w:gridCol w:w="164"/>
        <w:gridCol w:w="31"/>
        <w:gridCol w:w="49"/>
        <w:gridCol w:w="248"/>
        <w:gridCol w:w="164"/>
        <w:gridCol w:w="40"/>
        <w:gridCol w:w="36"/>
        <w:gridCol w:w="250"/>
        <w:gridCol w:w="164"/>
        <w:gridCol w:w="51"/>
        <w:gridCol w:w="21"/>
        <w:gridCol w:w="252"/>
        <w:gridCol w:w="164"/>
        <w:gridCol w:w="55"/>
        <w:gridCol w:w="13"/>
        <w:gridCol w:w="254"/>
        <w:gridCol w:w="164"/>
        <w:gridCol w:w="59"/>
        <w:gridCol w:w="6"/>
        <w:gridCol w:w="255"/>
        <w:gridCol w:w="129"/>
        <w:gridCol w:w="35"/>
        <w:gridCol w:w="63"/>
        <w:gridCol w:w="256"/>
        <w:gridCol w:w="95"/>
        <w:gridCol w:w="70"/>
        <w:gridCol w:w="66"/>
        <w:gridCol w:w="154"/>
        <w:gridCol w:w="164"/>
        <w:gridCol w:w="165"/>
        <w:gridCol w:w="118"/>
        <w:gridCol w:w="164"/>
        <w:gridCol w:w="200"/>
        <w:gridCol w:w="384"/>
        <w:gridCol w:w="448"/>
      </w:tblGrid>
      <w:tr w:rsidR="00E51FE5" w:rsidTr="002E4ED5">
        <w:trPr>
          <w:gridAfter w:val="3"/>
          <w:wAfter w:w="1032" w:type="dxa"/>
          <w:trHeight w:val="78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2E4ED5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2E4ED5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2E4ED5">
        <w:trPr>
          <w:gridAfter w:val="3"/>
          <w:wAfter w:w="1032" w:type="dxa"/>
          <w:trHeight w:val="60"/>
        </w:trPr>
        <w:tc>
          <w:tcPr>
            <w:tcW w:w="3953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2E4ED5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2E4ED5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2E4ED5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2E4ED5">
        <w:trPr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2E4ED5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2E4ED5">
        <w:trPr>
          <w:gridAfter w:val="3"/>
          <w:wAfter w:w="1032" w:type="dxa"/>
        </w:trPr>
        <w:tc>
          <w:tcPr>
            <w:tcW w:w="7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shd w:val="clear" w:color="FFFFFF" w:fill="auto"/>
            <w:vAlign w:val="center"/>
          </w:tcPr>
          <w:p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2E4ED5">
        <w:trPr>
          <w:gridAfter w:val="4"/>
          <w:wAfter w:w="1196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E51FE5" w:rsidRDefault="00C0191B" w:rsidP="00A47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51FE5" w:rsidRDefault="003A61F3" w:rsidP="00A47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</w:t>
            </w:r>
            <w:r w:rsidR="00023818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1FE5" w:rsidRDefault="00C0191B" w:rsidP="00A47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1FE5" w:rsidRDefault="00A4792F" w:rsidP="00A47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2E4ED5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2E4ED5">
        <w:trPr>
          <w:gridAfter w:val="10"/>
          <w:wAfter w:w="1933" w:type="dxa"/>
        </w:trPr>
        <w:tc>
          <w:tcPr>
            <w:tcW w:w="4420" w:type="dxa"/>
            <w:gridSpan w:val="10"/>
            <w:shd w:val="clear" w:color="FFFFFF" w:fill="auto"/>
            <w:vAlign w:val="center"/>
          </w:tcPr>
          <w:p w:rsidR="00E51FE5" w:rsidRDefault="003758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утратившими силу некоторых приказов министерства конкурентной политики Калужской области </w:t>
            </w:r>
          </w:p>
        </w:tc>
        <w:tc>
          <w:tcPr>
            <w:tcW w:w="10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2E4ED5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2E4ED5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5873" w:rsidRDefault="00A4792F" w:rsidP="00375873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-3460750</wp:posOffset>
                </wp:positionV>
                <wp:extent cx="685800" cy="762000"/>
                <wp:effectExtent l="3175" t="2540" r="0" b="0"/>
                <wp:wrapNone/>
                <wp:docPr id="1" name="Rectangle 2" descr="image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115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A50D" id="Rectangle 2" o:spid="_x0000_s1026" alt="image000" style="position:absolute;margin-left:96.7pt;margin-top:-272.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" stroked="f" strokecolor="#615">
                <v:fill r:id="rId6" o:title="image000" recolor="t" type="frame"/>
              </v:rect>
            </w:pict>
          </mc:Fallback>
        </mc:AlternateContent>
      </w:r>
      <w:r w:rsidR="00375873" w:rsidRPr="0037587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 08.11.2019 № 705), на основании </w:t>
      </w:r>
      <w:r w:rsidR="002E4ED5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="00375873" w:rsidRPr="00375873">
        <w:rPr>
          <w:rFonts w:ascii="Times New Roman" w:eastAsia="Times New Roman" w:hAnsi="Times New Roman" w:cs="Times New Roman"/>
          <w:sz w:val="26"/>
          <w:szCs w:val="26"/>
        </w:rPr>
        <w:t>заседания комиссии по тарифам и ценам министерства конкурентной политики Калужской области от 16.12.2019</w:t>
      </w:r>
      <w:r w:rsidR="002E4E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5873"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="00375873" w:rsidRPr="00083DCB">
        <w:rPr>
          <w:sz w:val="26"/>
          <w:szCs w:val="26"/>
        </w:rPr>
        <w:t>:</w:t>
      </w:r>
    </w:p>
    <w:p w:rsidR="00375873" w:rsidRDefault="00375873" w:rsidP="007D027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утратившими силу следующие приказы министерства конкурентной политики Калужской области: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>- от 12.11.2018 № 152-РК «Об установлении долгосрочных тарифов на транспортировку сточных вод для публичного акционерного общества «Троицкая бумажная фабрика» на 2019-2023 годы»;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>- от 12.11.2018 № 160-РК «Об установлении долгосрочных тарифов на транспортировку воды для федерального государственного унитарного предприятия «Научно-производственный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«Научно-производственный центр автоматики и приборостроения имени академика Н.А. Пилюгина» - «Сосенский приборостроительный завод») на 2019-2023 годы»;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>- от 18.12.2017 № 488-РК «Об установлении долгосрочных тарифов на транспортировку сточных вод для государственного предприятия Калужской области «</w:t>
      </w:r>
      <w:proofErr w:type="spellStart"/>
      <w:r w:rsidRPr="00AA4382">
        <w:rPr>
          <w:sz w:val="26"/>
          <w:szCs w:val="26"/>
        </w:rPr>
        <w:t>Калугаоблводоканал</w:t>
      </w:r>
      <w:proofErr w:type="spellEnd"/>
      <w:r w:rsidRPr="00AA4382">
        <w:rPr>
          <w:sz w:val="26"/>
          <w:szCs w:val="26"/>
        </w:rPr>
        <w:t xml:space="preserve">» на территории муниципального образования городское </w:t>
      </w:r>
      <w:r w:rsidRPr="00AA4382">
        <w:rPr>
          <w:sz w:val="26"/>
          <w:szCs w:val="26"/>
        </w:rPr>
        <w:lastRenderedPageBreak/>
        <w:t xml:space="preserve">поселение «Город </w:t>
      </w:r>
      <w:r w:rsidRPr="00AA4382">
        <w:rPr>
          <w:bCs/>
          <w:sz w:val="26"/>
          <w:szCs w:val="26"/>
        </w:rPr>
        <w:t>Киров</w:t>
      </w:r>
      <w:r w:rsidRPr="00AA4382">
        <w:rPr>
          <w:sz w:val="26"/>
          <w:szCs w:val="26"/>
        </w:rPr>
        <w:t>» на 2018-2020 годы» (в ред</w:t>
      </w:r>
      <w:r>
        <w:rPr>
          <w:sz w:val="26"/>
          <w:szCs w:val="26"/>
        </w:rPr>
        <w:t>.</w:t>
      </w:r>
      <w:r w:rsidRPr="00AA4382">
        <w:rPr>
          <w:sz w:val="26"/>
          <w:szCs w:val="26"/>
        </w:rPr>
        <w:t xml:space="preserve"> приказа министерства конкурентной политики Калужской области от 17.12.2018 № 507-РК);</w:t>
      </w: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>- от 03.12.2018 № 299-РК «Об установлении долгосрочных тарифов на транспортировку сточных вод для общества с ограниченной ответственностью «СВАН» на 2019</w:t>
      </w:r>
      <w:bookmarkStart w:id="0" w:name="_GoBack"/>
      <w:bookmarkEnd w:id="0"/>
      <w:r w:rsidRPr="00AA4382">
        <w:rPr>
          <w:sz w:val="26"/>
          <w:szCs w:val="26"/>
        </w:rPr>
        <w:t>-2023 годы».</w:t>
      </w: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 1 января 2020 года.</w:t>
      </w: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sectPr w:rsidR="00375873" w:rsidRPr="00AA4382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5"/>
    <w:rsid w:val="00023818"/>
    <w:rsid w:val="002E4ED5"/>
    <w:rsid w:val="003117D7"/>
    <w:rsid w:val="00375873"/>
    <w:rsid w:val="003A61F3"/>
    <w:rsid w:val="005B3976"/>
    <w:rsid w:val="005E0C33"/>
    <w:rsid w:val="007D0276"/>
    <w:rsid w:val="00880E1C"/>
    <w:rsid w:val="00A4792F"/>
    <w:rsid w:val="00C0191B"/>
    <w:rsid w:val="00E51FE5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07DC"/>
  <w15:docId w15:val="{6FA193B0-937C-4D09-943A-B2671D0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Трубайчук Анастасия Анатольевна</dc:creator>
  <cp:lastModifiedBy>Финакин Антон Олегович</cp:lastModifiedBy>
  <cp:revision>3</cp:revision>
  <cp:lastPrinted>2019-11-13T13:23:00Z</cp:lastPrinted>
  <dcterms:created xsi:type="dcterms:W3CDTF">2019-12-15T09:15:00Z</dcterms:created>
  <dcterms:modified xsi:type="dcterms:W3CDTF">2019-12-17T17:02:00Z</dcterms:modified>
</cp:coreProperties>
</file>