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07173D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5E3607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Pr="005E3607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Владимиров</w:t>
      </w: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Т О К О </w:t>
      </w:r>
      <w:proofErr w:type="gramStart"/>
      <w:r w:rsidR="00E710B5"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Л </w:t>
      </w:r>
      <w:r w:rsidR="00E710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10B5" w:rsidRPr="005E3607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proofErr w:type="gramEnd"/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710B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81A" w:rsidRDefault="001C381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0B5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="00E710B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E710B5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(место проведения)</w:t>
      </w:r>
    </w:p>
    <w:p w:rsidR="004E1A2F" w:rsidRDefault="004E1A2F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74F" w:rsidRDefault="003F574F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Владимиров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420" w:rsidRPr="005E3607" w:rsidRDefault="00126E3A" w:rsidP="00CC71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461413" w:rsidRPr="005E3607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 w:rsidR="004614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7422">
        <w:rPr>
          <w:rFonts w:ascii="Times New Roman" w:eastAsia="Times New Roman" w:hAnsi="Times New Roman" w:cs="Times New Roman"/>
          <w:sz w:val="24"/>
          <w:szCs w:val="24"/>
        </w:rPr>
        <w:t>О.А. Викторова,</w:t>
      </w:r>
      <w:r w:rsidR="0017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45C">
        <w:rPr>
          <w:rFonts w:ascii="Times New Roman" w:eastAsia="Times New Roman" w:hAnsi="Times New Roman" w:cs="Times New Roman"/>
          <w:sz w:val="24"/>
          <w:szCs w:val="24"/>
        </w:rPr>
        <w:t xml:space="preserve">С.И. </w:t>
      </w:r>
      <w:r w:rsidR="00171733">
        <w:rPr>
          <w:rFonts w:ascii="Times New Roman" w:eastAsia="Times New Roman" w:hAnsi="Times New Roman" w:cs="Times New Roman"/>
          <w:sz w:val="24"/>
          <w:szCs w:val="24"/>
        </w:rPr>
        <w:t>Ландухова</w:t>
      </w:r>
      <w:r w:rsidR="00BB64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А.А. Магер</w:t>
      </w:r>
      <w:r w:rsidR="00171733">
        <w:rPr>
          <w:rFonts w:ascii="Times New Roman" w:eastAsia="Times New Roman" w:hAnsi="Times New Roman" w:cs="Times New Roman"/>
          <w:sz w:val="24"/>
          <w:szCs w:val="24"/>
        </w:rPr>
        <w:t>, Ю.И. Михалев.</w:t>
      </w:r>
    </w:p>
    <w:p w:rsidR="003C678F" w:rsidRPr="005E3607" w:rsidRDefault="00535A24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E710B5" w:rsidRPr="000A7326" w:rsidRDefault="00E710B5" w:rsidP="00E710B5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32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регулируемых организаций согласно явочному листу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32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0A73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0A7326">
        <w:rPr>
          <w:rFonts w:ascii="Times New Roman" w:eastAsia="Times New Roman" w:hAnsi="Times New Roman" w:cs="Times New Roman"/>
          <w:sz w:val="24"/>
          <w:szCs w:val="24"/>
        </w:rPr>
        <w:t>.2019 г.</w:t>
      </w:r>
    </w:p>
    <w:p w:rsidR="00E710B5" w:rsidRDefault="00E710B5" w:rsidP="00E710B5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622" w:rsidRDefault="00E710B5" w:rsidP="008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М.В. Акимова, В.</w:t>
      </w:r>
      <w:r w:rsidR="00167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И. Климова.</w:t>
      </w:r>
    </w:p>
    <w:p w:rsidR="00E710B5" w:rsidRDefault="00E710B5" w:rsidP="008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0B5" w:rsidRDefault="00E710B5" w:rsidP="0080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0B5" w:rsidRDefault="00463E6B" w:rsidP="0046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E6B">
        <w:rPr>
          <w:rFonts w:ascii="Times New Roman" w:hAnsi="Times New Roman" w:cs="Times New Roman"/>
          <w:b/>
          <w:sz w:val="24"/>
          <w:szCs w:val="24"/>
        </w:rPr>
        <w:t xml:space="preserve">1. - </w:t>
      </w:r>
      <w:r w:rsidRPr="00463E6B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тарифов на услуги по передаче тепловой энергии, теплоносителя для муниципального унитарного предприятия «ЖилСервис» муниципального образования городское поселение город Жуков на 2019 год;</w:t>
      </w:r>
    </w:p>
    <w:p w:rsidR="00463E6B" w:rsidRPr="00463E6B" w:rsidRDefault="00463E6B" w:rsidP="0046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63E6B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признании утратившим силу приказа министерства конкурентной политики Калужской области от 03.12.2018 № 248-РК «Об установлении тарифов на услуги по передаче тепловой энергии, теплоносителя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463E6B">
        <w:rPr>
          <w:rFonts w:ascii="Times New Roman" w:eastAsia="Times New Roman" w:hAnsi="Times New Roman" w:cs="Times New Roman"/>
          <w:b/>
          <w:sz w:val="24"/>
          <w:szCs w:val="24"/>
        </w:rPr>
        <w:t>бщества с ограниченной ответственностью «Управляющая компания «Жуковский район» на 2019 - 2023 годы»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4B7D" w:rsidRPr="00463E6B" w:rsidRDefault="002C4B7D" w:rsidP="001717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E6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C4B7D" w:rsidRDefault="002C4B7D" w:rsidP="0017173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E6B">
        <w:rPr>
          <w:rFonts w:ascii="Times New Roman" w:hAnsi="Times New Roman" w:cs="Times New Roman"/>
          <w:b/>
          <w:sz w:val="24"/>
          <w:szCs w:val="24"/>
        </w:rPr>
        <w:t>Доложил</w:t>
      </w:r>
      <w:r w:rsidR="00463E6B">
        <w:rPr>
          <w:rFonts w:ascii="Times New Roman" w:hAnsi="Times New Roman" w:cs="Times New Roman"/>
          <w:b/>
          <w:sz w:val="24"/>
          <w:szCs w:val="24"/>
        </w:rPr>
        <w:t>и</w:t>
      </w:r>
      <w:r w:rsidRPr="00463E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7919">
        <w:rPr>
          <w:rFonts w:ascii="Times New Roman" w:hAnsi="Times New Roman" w:cs="Times New Roman"/>
          <w:b/>
          <w:sz w:val="24"/>
          <w:szCs w:val="24"/>
        </w:rPr>
        <w:t>М.В. А</w:t>
      </w:r>
      <w:r w:rsidR="00463E6B" w:rsidRPr="00463E6B">
        <w:rPr>
          <w:rFonts w:ascii="Times New Roman" w:hAnsi="Times New Roman" w:cs="Times New Roman"/>
          <w:b/>
          <w:sz w:val="24"/>
          <w:szCs w:val="24"/>
        </w:rPr>
        <w:t>кимова</w:t>
      </w:r>
      <w:r w:rsidR="000D7919">
        <w:rPr>
          <w:rFonts w:ascii="Times New Roman" w:hAnsi="Times New Roman" w:cs="Times New Roman"/>
          <w:b/>
          <w:sz w:val="24"/>
          <w:szCs w:val="24"/>
        </w:rPr>
        <w:t>,</w:t>
      </w:r>
      <w:r w:rsidR="00463E6B" w:rsidRPr="00463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19">
        <w:rPr>
          <w:rFonts w:ascii="Times New Roman" w:hAnsi="Times New Roman" w:cs="Times New Roman"/>
          <w:b/>
          <w:sz w:val="24"/>
          <w:szCs w:val="24"/>
        </w:rPr>
        <w:t xml:space="preserve">В.И. </w:t>
      </w:r>
      <w:r w:rsidR="00463E6B" w:rsidRPr="00463E6B">
        <w:rPr>
          <w:rFonts w:ascii="Times New Roman" w:hAnsi="Times New Roman" w:cs="Times New Roman"/>
          <w:b/>
          <w:sz w:val="24"/>
          <w:szCs w:val="24"/>
        </w:rPr>
        <w:t xml:space="preserve">Климова. </w:t>
      </w:r>
    </w:p>
    <w:p w:rsidR="00463E6B" w:rsidRPr="00463E6B" w:rsidRDefault="00463E6B" w:rsidP="0017173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10660" w:type="dxa"/>
        <w:tblInd w:w="0" w:type="dxa"/>
        <w:tblLook w:val="04A0" w:firstRow="1" w:lastRow="0" w:firstColumn="1" w:lastColumn="0" w:noHBand="0" w:noVBand="1"/>
      </w:tblPr>
      <w:tblGrid>
        <w:gridCol w:w="426"/>
        <w:gridCol w:w="591"/>
        <w:gridCol w:w="263"/>
        <w:gridCol w:w="766"/>
        <w:gridCol w:w="215"/>
        <w:gridCol w:w="246"/>
        <w:gridCol w:w="20"/>
        <w:gridCol w:w="809"/>
        <w:gridCol w:w="153"/>
        <w:gridCol w:w="347"/>
        <w:gridCol w:w="455"/>
        <w:gridCol w:w="173"/>
        <w:gridCol w:w="405"/>
        <w:gridCol w:w="237"/>
        <w:gridCol w:w="297"/>
        <w:gridCol w:w="361"/>
        <w:gridCol w:w="531"/>
        <w:gridCol w:w="318"/>
        <w:gridCol w:w="384"/>
        <w:gridCol w:w="374"/>
        <w:gridCol w:w="1082"/>
        <w:gridCol w:w="194"/>
        <w:gridCol w:w="1010"/>
        <w:gridCol w:w="6"/>
        <w:gridCol w:w="98"/>
        <w:gridCol w:w="69"/>
        <w:gridCol w:w="275"/>
        <w:gridCol w:w="6"/>
        <w:gridCol w:w="549"/>
      </w:tblGrid>
      <w:tr w:rsidR="00B324D2" w:rsidTr="00110E4D">
        <w:trPr>
          <w:gridAfter w:val="4"/>
          <w:wAfter w:w="899" w:type="dxa"/>
          <w:trHeight w:val="1006"/>
        </w:trPr>
        <w:tc>
          <w:tcPr>
            <w:tcW w:w="9761" w:type="dxa"/>
            <w:gridSpan w:val="25"/>
            <w:shd w:val="clear" w:color="FFFFFF" w:fill="auto"/>
            <w:vAlign w:val="bottom"/>
          </w:tcPr>
          <w:p w:rsidR="00B324D2" w:rsidRPr="00B324D2" w:rsidRDefault="00B324D2" w:rsidP="00B3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B324D2">
              <w:rPr>
                <w:rFonts w:ascii="Times New Roman" w:hAnsi="Times New Roman"/>
                <w:sz w:val="24"/>
                <w:szCs w:val="24"/>
              </w:rPr>
              <w:t>Основные сведения о теплоснабжающей организации Муниципальное унитарное предприятие «ЖилСервис» муниципального образования городское поселение город Жуков (далее - ТСО).</w:t>
            </w:r>
          </w:p>
        </w:tc>
      </w:tr>
      <w:tr w:rsidR="00B324D2" w:rsidTr="00110E4D">
        <w:trPr>
          <w:gridAfter w:val="4"/>
          <w:wAfter w:w="899" w:type="dxa"/>
          <w:trHeight w:val="80"/>
        </w:trPr>
        <w:tc>
          <w:tcPr>
            <w:tcW w:w="9761" w:type="dxa"/>
            <w:gridSpan w:val="25"/>
            <w:shd w:val="clear" w:color="FFFFFF" w:fill="auto"/>
            <w:vAlign w:val="center"/>
          </w:tcPr>
          <w:p w:rsidR="00B324D2" w:rsidRDefault="00B324D2" w:rsidP="00B32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38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B324D2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«ЖилСервис» муниципального образования городское поселение город Жуков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38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B324D2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1154011001760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38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4007020532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38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400701001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38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Упрощенная система налогообложения (доходы минус расходы)</w:t>
            </w:r>
          </w:p>
        </w:tc>
      </w:tr>
      <w:tr w:rsidR="00B324D2" w:rsidRPr="00376909" w:rsidTr="00110E4D">
        <w:trPr>
          <w:gridAfter w:val="4"/>
          <w:wAfter w:w="899" w:type="dxa"/>
          <w:trHeight w:val="119"/>
        </w:trPr>
        <w:tc>
          <w:tcPr>
            <w:tcW w:w="38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Услуги по передаче тепловой энергии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38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Калужская область, г. Жуков, ул. Первомайская, д. 7, стр.1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38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lastRenderedPageBreak/>
              <w:t>Почтовый адрес организации</w:t>
            </w:r>
          </w:p>
        </w:tc>
        <w:tc>
          <w:tcPr>
            <w:tcW w:w="59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Калужская область, г. Жуков, ул. Первомайская, д. 7, стр.1</w:t>
            </w:r>
          </w:p>
        </w:tc>
      </w:tr>
      <w:tr w:rsidR="00110E4D" w:rsidTr="00110E4D">
        <w:trPr>
          <w:gridAfter w:val="2"/>
          <w:wAfter w:w="555" w:type="dxa"/>
          <w:trHeight w:val="68"/>
        </w:trPr>
        <w:tc>
          <w:tcPr>
            <w:tcW w:w="1017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4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6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  <w:vAlign w:val="bottom"/>
          </w:tcPr>
          <w:p w:rsidR="00B324D2" w:rsidRPr="00B324D2" w:rsidRDefault="00B324D2" w:rsidP="00B324D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D2">
              <w:rPr>
                <w:rFonts w:ascii="Times New Roman" w:hAnsi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 для установления одноставочного тарифа на услуги по передаче тепловой энергии на 2019 год, методом экономически обоснованных расходов.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  <w:vAlign w:val="center"/>
          </w:tcPr>
          <w:p w:rsidR="00B324D2" w:rsidRDefault="00B324D2" w:rsidP="00B32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4D2" w:rsidTr="00110E4D">
        <w:trPr>
          <w:gridAfter w:val="2"/>
          <w:wAfter w:w="555" w:type="dxa"/>
          <w:trHeight w:val="119"/>
        </w:trPr>
        <w:tc>
          <w:tcPr>
            <w:tcW w:w="12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2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344" w:type="dxa"/>
            <w:gridSpan w:val="2"/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D2" w:rsidTr="00110E4D">
        <w:trPr>
          <w:gridAfter w:val="2"/>
          <w:wAfter w:w="555" w:type="dxa"/>
          <w:trHeight w:val="119"/>
        </w:trPr>
        <w:tc>
          <w:tcPr>
            <w:tcW w:w="12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D2" w:rsidTr="00110E4D">
        <w:trPr>
          <w:gridAfter w:val="2"/>
          <w:wAfter w:w="555" w:type="dxa"/>
          <w:trHeight w:val="119"/>
        </w:trPr>
        <w:tc>
          <w:tcPr>
            <w:tcW w:w="12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105,34</w:t>
            </w:r>
          </w:p>
        </w:tc>
        <w:tc>
          <w:tcPr>
            <w:tcW w:w="9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3 591,46</w:t>
            </w: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4D" w:rsidTr="00110E4D">
        <w:trPr>
          <w:gridAfter w:val="2"/>
          <w:wAfter w:w="555" w:type="dxa"/>
          <w:trHeight w:val="119"/>
        </w:trPr>
        <w:tc>
          <w:tcPr>
            <w:tcW w:w="1017" w:type="dxa"/>
            <w:gridSpan w:val="2"/>
            <w:shd w:val="clear" w:color="FFFFFF" w:fill="auto"/>
          </w:tcPr>
          <w:p w:rsidR="00B324D2" w:rsidRDefault="00B324D2" w:rsidP="00B324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4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6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</w:tcPr>
          <w:p w:rsidR="00B324D2" w:rsidRPr="00B324D2" w:rsidRDefault="00B324D2" w:rsidP="00B3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D2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2019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</w:tcPr>
          <w:p w:rsidR="00B324D2" w:rsidRPr="00B324D2" w:rsidRDefault="00B324D2" w:rsidP="00B3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D2">
              <w:rPr>
                <w:rFonts w:ascii="Times New Roman" w:hAnsi="Times New Roman"/>
                <w:sz w:val="24"/>
                <w:szCs w:val="24"/>
              </w:rPr>
              <w:tab/>
              <w:t>На основании заявления ТСО, с учётом требований подпункта «а»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</w:tcPr>
          <w:p w:rsidR="00B324D2" w:rsidRPr="00B324D2" w:rsidRDefault="00B324D2" w:rsidP="00B3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D2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</w:tcPr>
          <w:p w:rsidR="00B324D2" w:rsidRPr="00B324D2" w:rsidRDefault="00B324D2" w:rsidP="00B3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D2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регулируемой деятельности (тепловые сети протяженностью 3,331 км и сети горячего водоснабжения 3,05 км), находятся у организации в хозяйственном ведении. Представлен договор о закреплении муниципального имущества на праве хозяйственного ведения за МУП «ЖилСервис» от 15.01.2016 и дополнительное соглашение к данному договору от 21.05.2019.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</w:tcPr>
          <w:p w:rsidR="00B324D2" w:rsidRPr="00B324D2" w:rsidRDefault="00B324D2" w:rsidP="00B3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D2">
              <w:rPr>
                <w:rFonts w:ascii="Times New Roman" w:hAnsi="Times New Roman"/>
                <w:sz w:val="24"/>
                <w:szCs w:val="24"/>
              </w:rPr>
              <w:tab/>
              <w:t xml:space="preserve">Тариф для ТСО устанавливается впервые. 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</w:tcPr>
          <w:p w:rsidR="00B324D2" w:rsidRPr="00B324D2" w:rsidRDefault="00B324D2" w:rsidP="00B3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D2">
              <w:rPr>
                <w:rFonts w:ascii="Times New Roman" w:hAnsi="Times New Roman"/>
                <w:sz w:val="24"/>
                <w:szCs w:val="24"/>
              </w:rPr>
              <w:tab/>
              <w:t xml:space="preserve">Ранее регулируемый вид деятельности с использованием данных тепловых сетей осуществляла ООО Управляющая Компания «Жуковский район». 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</w:tcPr>
          <w:p w:rsidR="00B324D2" w:rsidRPr="00B324D2" w:rsidRDefault="00B324D2" w:rsidP="00B3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D2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переданной тепловой энергии и годовых расходов по статьям затрат.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</w:tcPr>
          <w:p w:rsidR="00B324D2" w:rsidRPr="00B324D2" w:rsidRDefault="00B324D2" w:rsidP="00B3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D2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  <w:vAlign w:val="center"/>
          </w:tcPr>
          <w:p w:rsidR="00B324D2" w:rsidRDefault="00B324D2" w:rsidP="00B324D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25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Утверждено приказом министерства строительства и жилищно – коммунального хозяйства Калужской области</w:t>
            </w:r>
          </w:p>
        </w:tc>
        <w:tc>
          <w:tcPr>
            <w:tcW w:w="43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25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28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  <w:tc>
          <w:tcPr>
            <w:tcW w:w="43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4D2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Экспертами принят объём потерь в тепловых сетях исходя из ранее учитываемого уровня потерь тепловой энергии в размере 2,2 % от объема поданной в сеть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</w:tcPr>
          <w:p w:rsidR="00B324D2" w:rsidRPr="00B324D2" w:rsidRDefault="00B324D2" w:rsidP="00B3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4D2" w:rsidRPr="00B324D2" w:rsidRDefault="00B324D2" w:rsidP="00B3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D2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</w:tcPr>
          <w:p w:rsidR="00B324D2" w:rsidRPr="00B324D2" w:rsidRDefault="00B324D2" w:rsidP="00B3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D2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</w:tcPr>
          <w:p w:rsidR="00B324D2" w:rsidRPr="00B324D2" w:rsidRDefault="00B324D2" w:rsidP="00B3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4D2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7919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</w:tcPr>
          <w:p w:rsidR="000D7919" w:rsidRPr="00B324D2" w:rsidRDefault="000D7919" w:rsidP="00B3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4D" w:rsidTr="00110E4D">
        <w:trPr>
          <w:gridAfter w:val="4"/>
          <w:wAfter w:w="899" w:type="dxa"/>
          <w:trHeight w:val="119"/>
        </w:trPr>
        <w:tc>
          <w:tcPr>
            <w:tcW w:w="4291" w:type="dxa"/>
            <w:gridSpan w:val="11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815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55" w:type="dxa"/>
            <w:gridSpan w:val="11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110E4D" w:rsidTr="00110E4D">
        <w:trPr>
          <w:gridAfter w:val="4"/>
          <w:wAfter w:w="899" w:type="dxa"/>
          <w:trHeight w:val="119"/>
        </w:trPr>
        <w:tc>
          <w:tcPr>
            <w:tcW w:w="4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Потери тепловой энергии в сети, тыс. Гкал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4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09">
              <w:rPr>
                <w:rFonts w:ascii="Times New Roman" w:hAnsi="Times New Roman"/>
                <w:sz w:val="20"/>
                <w:szCs w:val="20"/>
              </w:rPr>
              <w:t>Экспертами принят объём потерь в тепловых сетях исходя из ранее учитываемого уровня потерь тепловой энергии в размере 2,2 % от объема поданной в сеть</w:t>
            </w:r>
          </w:p>
        </w:tc>
      </w:tr>
      <w:tr w:rsidR="00110E4D" w:rsidTr="00110E4D">
        <w:trPr>
          <w:gridAfter w:val="4"/>
          <w:wAfter w:w="899" w:type="dxa"/>
          <w:trHeight w:val="119"/>
        </w:trPr>
        <w:tc>
          <w:tcPr>
            <w:tcW w:w="4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 w:rsidRPr="00376909">
              <w:rPr>
                <w:rFonts w:ascii="Times New Roman" w:hAnsi="Times New Roman"/>
                <w:sz w:val="20"/>
                <w:szCs w:val="20"/>
              </w:rPr>
              <w:t xml:space="preserve">Поданная </w:t>
            </w:r>
            <w:r>
              <w:rPr>
                <w:rFonts w:ascii="Times New Roman" w:hAnsi="Times New Roman"/>
                <w:sz w:val="20"/>
                <w:szCs w:val="20"/>
              </w:rPr>
              <w:t>в сеть тепловая энергия, тыс. Гкал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34,842</w:t>
            </w:r>
          </w:p>
        </w:tc>
        <w:tc>
          <w:tcPr>
            <w:tcW w:w="4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4D" w:rsidTr="00110E4D">
        <w:trPr>
          <w:gridAfter w:val="4"/>
          <w:wAfter w:w="899" w:type="dxa"/>
          <w:trHeight w:val="119"/>
        </w:trPr>
        <w:tc>
          <w:tcPr>
            <w:tcW w:w="4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34,092</w:t>
            </w:r>
          </w:p>
        </w:tc>
        <w:tc>
          <w:tcPr>
            <w:tcW w:w="4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09">
              <w:rPr>
                <w:rFonts w:ascii="Times New Roman" w:hAnsi="Times New Roman"/>
                <w:sz w:val="20"/>
                <w:szCs w:val="20"/>
              </w:rPr>
              <w:t>С учетом представленного планового баланса тепловой энергии на 2019 год</w:t>
            </w:r>
          </w:p>
        </w:tc>
      </w:tr>
      <w:tr w:rsidR="00B324D2" w:rsidTr="00110E4D">
        <w:trPr>
          <w:gridAfter w:val="3"/>
          <w:wAfter w:w="830" w:type="dxa"/>
          <w:trHeight w:val="1082"/>
        </w:trPr>
        <w:tc>
          <w:tcPr>
            <w:tcW w:w="9830" w:type="dxa"/>
            <w:gridSpan w:val="26"/>
            <w:shd w:val="clear" w:color="FFFFFF" w:fill="auto"/>
          </w:tcPr>
          <w:p w:rsidR="00B324D2" w:rsidRDefault="00B324D2" w:rsidP="00B324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324D2" w:rsidRDefault="00B324D2" w:rsidP="00110E4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0E4D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2019 год, но не включенные в расчет тарифов, представлены в таблице</w:t>
            </w:r>
            <w:r w:rsidRPr="00D825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10E4D" w:rsidTr="00110E4D">
        <w:trPr>
          <w:trHeight w:val="119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1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32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2019 год</w:t>
            </w:r>
          </w:p>
        </w:tc>
        <w:tc>
          <w:tcPr>
            <w:tcW w:w="314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  <w:tc>
          <w:tcPr>
            <w:tcW w:w="899" w:type="dxa"/>
            <w:gridSpan w:val="4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E4D" w:rsidTr="00110E4D">
        <w:trPr>
          <w:trHeight w:val="119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13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314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E4D" w:rsidTr="00110E4D">
        <w:trPr>
          <w:trHeight w:val="119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3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8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E4D" w:rsidTr="00110E4D">
        <w:trPr>
          <w:trHeight w:val="11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3 591,46</w:t>
            </w:r>
          </w:p>
        </w:tc>
        <w:tc>
          <w:tcPr>
            <w:tcW w:w="13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3 502,39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89,07</w:t>
            </w:r>
          </w:p>
        </w:tc>
        <w:tc>
          <w:tcPr>
            <w:tcW w:w="3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E4D" w:rsidTr="00110E4D">
        <w:trPr>
          <w:trHeight w:val="11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3 591,46</w:t>
            </w:r>
          </w:p>
        </w:tc>
        <w:tc>
          <w:tcPr>
            <w:tcW w:w="13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3 502,39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89,07</w:t>
            </w:r>
          </w:p>
        </w:tc>
        <w:tc>
          <w:tcPr>
            <w:tcW w:w="3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E4D" w:rsidTr="00110E4D">
        <w:trPr>
          <w:trHeight w:val="11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Налог по упрощённой системе налогообложения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3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35,02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-0,62</w:t>
            </w:r>
          </w:p>
        </w:tc>
        <w:tc>
          <w:tcPr>
            <w:tcW w:w="3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E4D" w:rsidTr="00110E4D">
        <w:trPr>
          <w:trHeight w:val="11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3 557,06</w:t>
            </w:r>
          </w:p>
        </w:tc>
        <w:tc>
          <w:tcPr>
            <w:tcW w:w="13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3 467,36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3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E4D" w:rsidTr="00110E4D">
        <w:trPr>
          <w:trHeight w:val="11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1 332,72</w:t>
            </w:r>
          </w:p>
        </w:tc>
        <w:tc>
          <w:tcPr>
            <w:tcW w:w="13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1 240,26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92,46</w:t>
            </w:r>
          </w:p>
        </w:tc>
        <w:tc>
          <w:tcPr>
            <w:tcW w:w="3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E4D" w:rsidTr="00110E4D">
        <w:trPr>
          <w:trHeight w:val="11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1 332,72</w:t>
            </w:r>
          </w:p>
        </w:tc>
        <w:tc>
          <w:tcPr>
            <w:tcW w:w="13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1 240,26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92,46</w:t>
            </w:r>
          </w:p>
        </w:tc>
        <w:tc>
          <w:tcPr>
            <w:tcW w:w="3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Экспертами приняты расходы с учетом утвержденного тарифа для АО «КНИРТИ» (теплоноситель «горячая вода») ТСО завышен тариф на тепловую энергию.</w:t>
            </w:r>
          </w:p>
        </w:tc>
        <w:tc>
          <w:tcPr>
            <w:tcW w:w="899" w:type="dxa"/>
            <w:gridSpan w:val="4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E4D" w:rsidTr="00110E4D">
        <w:trPr>
          <w:trHeight w:val="11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1 372,56</w:t>
            </w:r>
          </w:p>
        </w:tc>
        <w:tc>
          <w:tcPr>
            <w:tcW w:w="13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1 372,56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Основываясь на представленной организацией выписке из штатного расписания и расчета затрат на оплату труда</w:t>
            </w:r>
          </w:p>
        </w:tc>
        <w:tc>
          <w:tcPr>
            <w:tcW w:w="899" w:type="dxa"/>
            <w:gridSpan w:val="4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E4D" w:rsidTr="00110E4D">
        <w:trPr>
          <w:trHeight w:val="11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414,51</w:t>
            </w:r>
          </w:p>
        </w:tc>
        <w:tc>
          <w:tcPr>
            <w:tcW w:w="13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414,51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принятого экспертами фонда оплаты труда и отчислений в размере 30,2 % от </w:t>
            </w:r>
            <w:proofErr w:type="spellStart"/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ФОТа</w:t>
            </w:r>
            <w:proofErr w:type="spellEnd"/>
          </w:p>
        </w:tc>
        <w:tc>
          <w:tcPr>
            <w:tcW w:w="899" w:type="dxa"/>
            <w:gridSpan w:val="4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E4D" w:rsidTr="00110E4D">
        <w:trPr>
          <w:trHeight w:val="11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362,27</w:t>
            </w:r>
          </w:p>
        </w:tc>
        <w:tc>
          <w:tcPr>
            <w:tcW w:w="13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354,21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3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предоставленным расчетом плановых затрат на приобретение сырья и материалов</w:t>
            </w:r>
          </w:p>
        </w:tc>
        <w:tc>
          <w:tcPr>
            <w:tcW w:w="899" w:type="dxa"/>
            <w:gridSpan w:val="4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E4D" w:rsidTr="00110E4D">
        <w:trPr>
          <w:trHeight w:val="11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E4D" w:rsidTr="00110E4D">
        <w:trPr>
          <w:trHeight w:val="11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85,82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-85,82</w:t>
            </w:r>
          </w:p>
        </w:tc>
        <w:tc>
          <w:tcPr>
            <w:tcW w:w="3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В соответствии с дополнительно представленными обоснованиями и расчетом экспертов</w:t>
            </w:r>
          </w:p>
        </w:tc>
        <w:tc>
          <w:tcPr>
            <w:tcW w:w="899" w:type="dxa"/>
            <w:gridSpan w:val="4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E4D" w:rsidTr="00110E4D">
        <w:trPr>
          <w:trHeight w:val="11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11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D">
              <w:rPr>
                <w:rFonts w:ascii="Times New Roman" w:hAnsi="Times New Roman" w:cs="Times New Roman"/>
                <w:sz w:val="20"/>
                <w:szCs w:val="20"/>
              </w:rPr>
              <w:t>89,07</w:t>
            </w:r>
          </w:p>
        </w:tc>
        <w:tc>
          <w:tcPr>
            <w:tcW w:w="31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Pr="00110E4D" w:rsidRDefault="00B324D2" w:rsidP="00B3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4D2" w:rsidTr="00110E4D">
        <w:trPr>
          <w:gridAfter w:val="3"/>
          <w:wAfter w:w="830" w:type="dxa"/>
          <w:trHeight w:val="119"/>
        </w:trPr>
        <w:tc>
          <w:tcPr>
            <w:tcW w:w="9830" w:type="dxa"/>
            <w:gridSpan w:val="26"/>
            <w:shd w:val="clear" w:color="FFFFFF" w:fill="auto"/>
          </w:tcPr>
          <w:p w:rsidR="00B324D2" w:rsidRPr="00110E4D" w:rsidRDefault="00B324D2" w:rsidP="00B3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E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324D2" w:rsidRPr="00110E4D" w:rsidRDefault="00B324D2" w:rsidP="00B324D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E4D">
              <w:rPr>
                <w:rFonts w:ascii="Times New Roman" w:hAnsi="Times New Roman"/>
                <w:sz w:val="24"/>
                <w:szCs w:val="24"/>
              </w:rPr>
              <w:t>Экспертной группой рекомендовано ТСО уменьшить затраты на сумму 89,07 тыс. руб.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</w:tcPr>
          <w:p w:rsidR="00B324D2" w:rsidRPr="00110E4D" w:rsidRDefault="00B324D2" w:rsidP="00690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E4D">
              <w:rPr>
                <w:rFonts w:ascii="Times New Roman" w:hAnsi="Times New Roman"/>
                <w:sz w:val="24"/>
                <w:szCs w:val="24"/>
              </w:rPr>
              <w:tab/>
              <w:t>Скорректированные тарифы на услуги по передаче тепловой энергии для Муниципального унитарного предприятия «ЖилСервис» муниципального образования городское поселение город Жуков на 2019 год составил:</w:t>
            </w:r>
          </w:p>
        </w:tc>
      </w:tr>
      <w:tr w:rsidR="00B324D2" w:rsidTr="00110E4D">
        <w:trPr>
          <w:gridAfter w:val="1"/>
          <w:wAfter w:w="549" w:type="dxa"/>
          <w:trHeight w:val="119"/>
        </w:trPr>
        <w:tc>
          <w:tcPr>
            <w:tcW w:w="3836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92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0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  <w:tc>
          <w:tcPr>
            <w:tcW w:w="98" w:type="dxa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D2" w:rsidTr="00110E4D">
        <w:trPr>
          <w:gridAfter w:val="2"/>
          <w:wAfter w:w="555" w:type="dxa"/>
          <w:trHeight w:val="119"/>
        </w:trPr>
        <w:tc>
          <w:tcPr>
            <w:tcW w:w="3836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04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4D" w:rsidTr="00110E4D">
        <w:trPr>
          <w:gridAfter w:val="1"/>
          <w:wAfter w:w="549" w:type="dxa"/>
          <w:trHeight w:val="119"/>
        </w:trPr>
        <w:tc>
          <w:tcPr>
            <w:tcW w:w="38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</w:t>
            </w:r>
            <w:r w:rsidRPr="00D82ECE">
              <w:rPr>
                <w:rFonts w:ascii="Times New Roman" w:hAnsi="Times New Roman"/>
                <w:color w:val="FF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ации тарифов по схеме подключения</w:t>
            </w:r>
          </w:p>
        </w:tc>
        <w:tc>
          <w:tcPr>
            <w:tcW w:w="98" w:type="dxa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D2" w:rsidTr="00110E4D">
        <w:trPr>
          <w:gridAfter w:val="2"/>
          <w:wAfter w:w="555" w:type="dxa"/>
          <w:trHeight w:val="119"/>
        </w:trPr>
        <w:tc>
          <w:tcPr>
            <w:tcW w:w="3836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«ЖилСервис»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городское поселение город Жуков</w:t>
            </w:r>
          </w:p>
        </w:tc>
        <w:tc>
          <w:tcPr>
            <w:tcW w:w="192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110E4D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одноставочные</w:t>
            </w:r>
            <w:r w:rsidR="00B324D2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D2" w:rsidTr="00110E4D">
        <w:trPr>
          <w:gridAfter w:val="2"/>
          <w:wAfter w:w="555" w:type="dxa"/>
          <w:trHeight w:val="119"/>
        </w:trPr>
        <w:tc>
          <w:tcPr>
            <w:tcW w:w="3836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87">
              <w:rPr>
                <w:rFonts w:ascii="Times New Roman" w:hAnsi="Times New Roman"/>
                <w:sz w:val="20"/>
                <w:szCs w:val="20"/>
              </w:rPr>
              <w:t>23.08-31.12 2019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102,73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24D2" w:rsidRDefault="00B324D2" w:rsidP="00B3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324D2" w:rsidRDefault="00B324D2" w:rsidP="00B324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</w:tcPr>
          <w:p w:rsidR="00B324D2" w:rsidRPr="00690C2C" w:rsidRDefault="00B324D2" w:rsidP="00690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2C">
              <w:rPr>
                <w:rFonts w:ascii="Times New Roman" w:hAnsi="Times New Roman"/>
                <w:sz w:val="24"/>
                <w:szCs w:val="24"/>
              </w:rPr>
              <w:tab/>
              <w:t xml:space="preserve">Рост рекомендуемого тарифа на услуги по передаче тепловой энергии для </w:t>
            </w:r>
            <w:r w:rsidR="00664F65">
              <w:rPr>
                <w:rFonts w:ascii="Times New Roman" w:hAnsi="Times New Roman"/>
                <w:sz w:val="24"/>
                <w:szCs w:val="24"/>
              </w:rPr>
              <w:t>м</w:t>
            </w:r>
            <w:r w:rsidRPr="00690C2C">
              <w:rPr>
                <w:rFonts w:ascii="Times New Roman" w:hAnsi="Times New Roman"/>
                <w:sz w:val="24"/>
                <w:szCs w:val="24"/>
              </w:rPr>
              <w:t>униципального унитарного предприятия «ЖилСервис» муниципального образования городское поселение город Жуков с 23 августа 2019 года к уровню тарифа, ранее установленного для ООО Управляющая Компания «Жуковский район» на второе полугодие 2019 года (102,73 руб./Гкал с учетом НДС с 01.07.2019), составит 100,0%.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</w:tcPr>
          <w:p w:rsidR="00B324D2" w:rsidRPr="00690C2C" w:rsidRDefault="00B324D2" w:rsidP="00B32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C2C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664F65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r w:rsidRPr="00690C2C">
              <w:rPr>
                <w:rFonts w:ascii="Times New Roman" w:hAnsi="Times New Roman"/>
                <w:sz w:val="24"/>
                <w:szCs w:val="24"/>
              </w:rPr>
              <w:t xml:space="preserve">комиссии установить для </w:t>
            </w:r>
            <w:r w:rsidR="00664F65">
              <w:rPr>
                <w:rFonts w:ascii="Times New Roman" w:hAnsi="Times New Roman"/>
                <w:sz w:val="24"/>
                <w:szCs w:val="24"/>
              </w:rPr>
              <w:t>м</w:t>
            </w:r>
            <w:r w:rsidRPr="00690C2C">
              <w:rPr>
                <w:rFonts w:ascii="Times New Roman" w:hAnsi="Times New Roman"/>
                <w:sz w:val="24"/>
                <w:szCs w:val="24"/>
              </w:rPr>
              <w:t>униципального унитарного предприятия «ЖилСервис» муниципального образования городское поселение город Жуков вышеуказанные тарифы.</w:t>
            </w:r>
          </w:p>
        </w:tc>
      </w:tr>
      <w:tr w:rsidR="00B324D2" w:rsidTr="00110E4D">
        <w:trPr>
          <w:gridAfter w:val="4"/>
          <w:wAfter w:w="899" w:type="dxa"/>
          <w:trHeight w:val="119"/>
        </w:trPr>
        <w:tc>
          <w:tcPr>
            <w:tcW w:w="9761" w:type="dxa"/>
            <w:gridSpan w:val="25"/>
            <w:shd w:val="clear" w:color="FFFFFF" w:fill="auto"/>
          </w:tcPr>
          <w:p w:rsidR="000D7919" w:rsidRDefault="000D7919" w:rsidP="00B324D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4D2" w:rsidRPr="00664F65" w:rsidRDefault="00B324D2" w:rsidP="00B324D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65">
              <w:rPr>
                <w:rFonts w:ascii="Times New Roman" w:hAnsi="Times New Roman"/>
                <w:sz w:val="24"/>
                <w:szCs w:val="24"/>
              </w:rPr>
              <w:t xml:space="preserve">Письмом от 29 апреля 2019 года № 11 ООО Управляющая компания «Жуковский район» сообщило о прекращении регулируемой деятельности в сфере теплоснабжения, </w:t>
            </w:r>
            <w:r w:rsidR="000D7919">
              <w:rPr>
                <w:rFonts w:ascii="Times New Roman" w:hAnsi="Times New Roman"/>
                <w:sz w:val="24"/>
                <w:szCs w:val="24"/>
              </w:rPr>
              <w:br/>
            </w:r>
            <w:r w:rsidRPr="00664F65">
              <w:rPr>
                <w:rFonts w:ascii="Times New Roman" w:hAnsi="Times New Roman"/>
                <w:sz w:val="24"/>
                <w:szCs w:val="24"/>
              </w:rPr>
              <w:t xml:space="preserve">в связи с окончанием действия договоров аренды имущества от 02.12.2013 №53/13 </w:t>
            </w:r>
            <w:r w:rsidR="000D7919">
              <w:rPr>
                <w:rFonts w:ascii="Times New Roman" w:hAnsi="Times New Roman"/>
                <w:sz w:val="24"/>
                <w:szCs w:val="24"/>
              </w:rPr>
              <w:br/>
            </w:r>
            <w:r w:rsidRPr="00664F65">
              <w:rPr>
                <w:rFonts w:ascii="Times New Roman" w:hAnsi="Times New Roman"/>
                <w:sz w:val="24"/>
                <w:szCs w:val="24"/>
              </w:rPr>
              <w:t xml:space="preserve">и от 24.02.2012 № 30/12. </w:t>
            </w:r>
          </w:p>
          <w:p w:rsidR="00B324D2" w:rsidRPr="00664F65" w:rsidRDefault="00B324D2" w:rsidP="00B324D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F65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от 15.01.2016 о закреплении муниципального имущества на праве хозяйственного ведения и дополнительным соглашением от 21.05.2019 регулируемую деятельность с использованием объектов теплоснабжения, ранее эксплуатируемых </w:t>
            </w:r>
            <w:proofErr w:type="gramStart"/>
            <w:r w:rsidR="00664F65" w:rsidRPr="00664F65">
              <w:rPr>
                <w:rFonts w:ascii="Times New Roman" w:hAnsi="Times New Roman"/>
                <w:sz w:val="24"/>
                <w:szCs w:val="24"/>
              </w:rPr>
              <w:t>ООО Управляющая</w:t>
            </w:r>
            <w:proofErr w:type="gramEnd"/>
            <w:r w:rsidRPr="00664F65">
              <w:rPr>
                <w:rFonts w:ascii="Times New Roman" w:hAnsi="Times New Roman"/>
                <w:sz w:val="24"/>
                <w:szCs w:val="24"/>
              </w:rPr>
              <w:t xml:space="preserve"> компания «Жуковский район», будет осуществлять</w:t>
            </w:r>
            <w:r w:rsidRPr="00664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4F65" w:rsidRPr="00664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664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унитарное предприятие «ЖилСервис» муниципального образования городское поселение город Жуков.</w:t>
            </w:r>
          </w:p>
          <w:p w:rsidR="00B324D2" w:rsidRPr="00664F65" w:rsidRDefault="00B324D2" w:rsidP="00B324D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основании вышеизложенного </w:t>
            </w:r>
            <w:r w:rsidR="00D953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предлагается комиссии </w:t>
            </w:r>
            <w:r w:rsidRPr="00664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министерства конкурентной политики Калужской области от 03.12.2018 № 248-РК «Об установлении тарифов на услуги по передаче тепловой энергии, теплоносителя для </w:t>
            </w:r>
            <w:r w:rsidR="00664F65" w:rsidRPr="00664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64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бщества с ограниченной ответственностью «Управляющая компания «Жуковский район» на 2019 - 2023 годы» признать утратившим силу. </w:t>
            </w:r>
          </w:p>
          <w:p w:rsidR="00B324D2" w:rsidRDefault="00B324D2" w:rsidP="00B324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D2E49" w:rsidRPr="00237824" w:rsidRDefault="004D2E49" w:rsidP="00CC71C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9324742"/>
      <w:bookmarkStart w:id="1" w:name="_Hlk15370935"/>
      <w:r w:rsidRPr="00237824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64F65" w:rsidRPr="00237824" w:rsidRDefault="00664F65" w:rsidP="00664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321659"/>
      <w:bookmarkEnd w:id="0"/>
      <w:r w:rsidRPr="00237824">
        <w:rPr>
          <w:rFonts w:ascii="Times New Roman" w:hAnsi="Times New Roman" w:cs="Times New Roman"/>
          <w:sz w:val="24"/>
          <w:szCs w:val="24"/>
        </w:rPr>
        <w:t xml:space="preserve">1. </w:t>
      </w:r>
      <w:r w:rsidR="00237824" w:rsidRPr="00237824">
        <w:rPr>
          <w:rFonts w:ascii="Times New Roman" w:hAnsi="Times New Roman" w:cs="Times New Roman"/>
          <w:sz w:val="24"/>
          <w:szCs w:val="24"/>
        </w:rPr>
        <w:t>С 23 августа 2019 по 31 декабря 2019 года у</w:t>
      </w:r>
      <w:r w:rsidRPr="00237824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237824" w:rsidRPr="00237824"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237824">
        <w:rPr>
          <w:rFonts w:ascii="Times New Roman" w:hAnsi="Times New Roman" w:cs="Times New Roman"/>
          <w:sz w:val="24"/>
          <w:szCs w:val="24"/>
        </w:rPr>
        <w:t xml:space="preserve">для </w:t>
      </w:r>
      <w:r w:rsidR="00237824" w:rsidRPr="00237824">
        <w:rPr>
          <w:rFonts w:ascii="Times New Roman" w:hAnsi="Times New Roman" w:cs="Times New Roman"/>
          <w:sz w:val="24"/>
          <w:szCs w:val="24"/>
        </w:rPr>
        <w:t>м</w:t>
      </w:r>
      <w:r w:rsidRPr="00237824">
        <w:rPr>
          <w:rFonts w:ascii="Times New Roman" w:hAnsi="Times New Roman" w:cs="Times New Roman"/>
          <w:sz w:val="24"/>
          <w:szCs w:val="24"/>
        </w:rPr>
        <w:t xml:space="preserve">униципального унитарного предприятия «ЖилСервис» муниципального образования городское поселение город Жуков, применяющего упрощенную систему налогообложения, одноставочные тарифы </w:t>
      </w:r>
      <w:r w:rsidR="00237824" w:rsidRPr="00237824">
        <w:rPr>
          <w:rFonts w:ascii="Times New Roman" w:hAnsi="Times New Roman" w:cs="Times New Roman"/>
          <w:sz w:val="24"/>
          <w:szCs w:val="24"/>
        </w:rPr>
        <w:t>на услуги</w:t>
      </w:r>
      <w:r w:rsidRPr="00237824">
        <w:rPr>
          <w:rFonts w:ascii="Times New Roman" w:hAnsi="Times New Roman" w:cs="Times New Roman"/>
          <w:sz w:val="24"/>
          <w:szCs w:val="24"/>
        </w:rPr>
        <w:t xml:space="preserve"> по передаче тепловой энергии, теплоносителя</w:t>
      </w:r>
      <w:r w:rsidR="00237824" w:rsidRPr="00237824">
        <w:rPr>
          <w:rFonts w:ascii="Times New Roman" w:hAnsi="Times New Roman" w:cs="Times New Roman"/>
          <w:sz w:val="24"/>
          <w:szCs w:val="24"/>
        </w:rPr>
        <w:t>.</w:t>
      </w:r>
    </w:p>
    <w:p w:rsidR="00664F65" w:rsidRPr="00664F65" w:rsidRDefault="00664F65" w:rsidP="00237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824">
        <w:rPr>
          <w:rFonts w:ascii="Times New Roman" w:hAnsi="Times New Roman" w:cs="Times New Roman"/>
          <w:sz w:val="24"/>
          <w:szCs w:val="24"/>
        </w:rPr>
        <w:t xml:space="preserve">2. </w:t>
      </w:r>
      <w:r w:rsidR="00237824" w:rsidRPr="00237824">
        <w:rPr>
          <w:rFonts w:ascii="Times New Roman" w:hAnsi="Times New Roman" w:cs="Times New Roman"/>
          <w:sz w:val="24"/>
          <w:szCs w:val="24"/>
        </w:rPr>
        <w:t>С 23 августа 2019 года п</w:t>
      </w:r>
      <w:r w:rsidRPr="00664F65">
        <w:rPr>
          <w:rFonts w:ascii="Times New Roman" w:eastAsia="Times New Roman" w:hAnsi="Times New Roman" w:cs="Times New Roman"/>
          <w:sz w:val="24"/>
          <w:szCs w:val="24"/>
        </w:rPr>
        <w:t>ризнать утратившим силу приказ министерства конкурентной политики Калужской области</w:t>
      </w:r>
      <w:bookmarkStart w:id="3" w:name="_Hlk14359196"/>
      <w:bookmarkStart w:id="4" w:name="_Hlk533087242"/>
      <w:r w:rsidRPr="00664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"/>
      <w:r w:rsidRPr="00664F65">
        <w:rPr>
          <w:rFonts w:ascii="Times New Roman" w:eastAsia="Times New Roman" w:hAnsi="Times New Roman" w:cs="Times New Roman"/>
          <w:sz w:val="24"/>
          <w:szCs w:val="24"/>
        </w:rPr>
        <w:t xml:space="preserve">от 03.12.2018 № 248-РК «Об установлении тарифов на услуги по передаче тепловой энергии, теплоносителя для </w:t>
      </w:r>
      <w:r w:rsidR="002378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4F65">
        <w:rPr>
          <w:rFonts w:ascii="Times New Roman" w:eastAsia="Times New Roman" w:hAnsi="Times New Roman" w:cs="Times New Roman"/>
          <w:sz w:val="24"/>
          <w:szCs w:val="24"/>
        </w:rPr>
        <w:t xml:space="preserve">бщества с ограниченной ответственностью «Управляющая компания «Жуковский район» </w:t>
      </w:r>
      <w:r w:rsidR="00237824">
        <w:rPr>
          <w:rFonts w:ascii="Times New Roman" w:eastAsia="Times New Roman" w:hAnsi="Times New Roman" w:cs="Times New Roman"/>
          <w:sz w:val="24"/>
          <w:szCs w:val="24"/>
        </w:rPr>
        <w:br/>
      </w:r>
      <w:r w:rsidRPr="00664F65">
        <w:rPr>
          <w:rFonts w:ascii="Times New Roman" w:eastAsia="Times New Roman" w:hAnsi="Times New Roman" w:cs="Times New Roman"/>
          <w:sz w:val="24"/>
          <w:szCs w:val="24"/>
        </w:rPr>
        <w:t>на 2019 - 2023 годы».</w:t>
      </w:r>
    </w:p>
    <w:bookmarkEnd w:id="4"/>
    <w:p w:rsidR="000D7919" w:rsidRDefault="000D7919" w:rsidP="00237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824" w:rsidRPr="00237824" w:rsidRDefault="00382FDB" w:rsidP="00237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24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237824" w:rsidRPr="00237824">
        <w:rPr>
          <w:rFonts w:ascii="Times New Roman" w:hAnsi="Times New Roman" w:cs="Times New Roman"/>
          <w:b/>
          <w:sz w:val="24"/>
          <w:szCs w:val="24"/>
        </w:rPr>
        <w:t>30</w:t>
      </w:r>
      <w:r w:rsidRPr="00237824">
        <w:rPr>
          <w:rFonts w:ascii="Times New Roman" w:hAnsi="Times New Roman" w:cs="Times New Roman"/>
          <w:b/>
          <w:sz w:val="24"/>
          <w:szCs w:val="24"/>
        </w:rPr>
        <w:t>.0</w:t>
      </w:r>
      <w:r w:rsidR="00AB4C25" w:rsidRPr="00237824">
        <w:rPr>
          <w:rFonts w:ascii="Times New Roman" w:hAnsi="Times New Roman" w:cs="Times New Roman"/>
          <w:b/>
          <w:sz w:val="24"/>
          <w:szCs w:val="24"/>
        </w:rPr>
        <w:t>7</w:t>
      </w:r>
      <w:r w:rsidRPr="00237824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237824" w:rsidRPr="00237824"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от 29.07.219 по делу № </w:t>
      </w:r>
      <w:r w:rsidR="00237824" w:rsidRPr="00237824">
        <w:rPr>
          <w:rFonts w:ascii="Times New Roman" w:hAnsi="Times New Roman"/>
          <w:b/>
          <w:sz w:val="24"/>
          <w:szCs w:val="24"/>
        </w:rPr>
        <w:t>195/Т-03/2513-19</w:t>
      </w:r>
      <w:r w:rsidR="00AB4C25" w:rsidRPr="00237824">
        <w:rPr>
          <w:rFonts w:ascii="Times New Roman" w:hAnsi="Times New Roman" w:cs="Times New Roman"/>
          <w:b/>
          <w:sz w:val="24"/>
          <w:szCs w:val="24"/>
        </w:rPr>
        <w:br/>
      </w:r>
      <w:r w:rsidR="00237824" w:rsidRPr="00237824">
        <w:rPr>
          <w:rFonts w:ascii="Times New Roman" w:hAnsi="Times New Roman" w:cs="Times New Roman"/>
          <w:b/>
          <w:sz w:val="24"/>
          <w:szCs w:val="24"/>
        </w:rPr>
        <w:t>в форме приказов (прилагаются), голосовали единогласно.</w:t>
      </w:r>
    </w:p>
    <w:bookmarkEnd w:id="1"/>
    <w:bookmarkEnd w:id="2"/>
    <w:p w:rsidR="00463E6B" w:rsidRDefault="00463E6B" w:rsidP="00237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824" w:rsidRPr="002C7220" w:rsidRDefault="00237824" w:rsidP="0023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5ED" w:rsidRPr="00463E6B" w:rsidRDefault="00237824" w:rsidP="00237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37824"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приказа министерства конкурентной политики Калужской области от 26.11.2018 № 196-РК «Об установлении тарифов на тепловую энергию (мощность) для </w:t>
      </w:r>
      <w:r w:rsidR="00E80411">
        <w:rPr>
          <w:rFonts w:ascii="Times New Roman" w:hAnsi="Times New Roman" w:cs="Times New Roman"/>
          <w:b/>
          <w:sz w:val="24"/>
          <w:szCs w:val="24"/>
        </w:rPr>
        <w:t>п</w:t>
      </w:r>
      <w:r w:rsidRPr="00237824">
        <w:rPr>
          <w:rFonts w:ascii="Times New Roman" w:hAnsi="Times New Roman" w:cs="Times New Roman"/>
          <w:b/>
          <w:sz w:val="24"/>
          <w:szCs w:val="24"/>
        </w:rPr>
        <w:t>убличного акционерного общества «Ростелеком» (Калужский филиал ПАО «Ростелеком») на 2019 - 2023 годы»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65ED" w:rsidRPr="002C7220" w:rsidRDefault="00D365ED" w:rsidP="00D365E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D365ED" w:rsidRPr="002C7220" w:rsidRDefault="00D365ED" w:rsidP="00D365E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0D7919">
        <w:rPr>
          <w:rFonts w:ascii="Times New Roman" w:hAnsi="Times New Roman" w:cs="Times New Roman"/>
          <w:b/>
          <w:sz w:val="24"/>
          <w:szCs w:val="24"/>
        </w:rPr>
        <w:t xml:space="preserve">В.И. </w:t>
      </w:r>
      <w:r w:rsidR="00237824">
        <w:rPr>
          <w:rFonts w:ascii="Times New Roman" w:hAnsi="Times New Roman" w:cs="Times New Roman"/>
          <w:b/>
          <w:sz w:val="24"/>
          <w:szCs w:val="24"/>
        </w:rPr>
        <w:t>Климова</w:t>
      </w:r>
      <w:r w:rsidRPr="002C7220">
        <w:rPr>
          <w:rFonts w:ascii="Times New Roman" w:hAnsi="Times New Roman" w:cs="Times New Roman"/>
          <w:b/>
          <w:sz w:val="24"/>
          <w:szCs w:val="24"/>
        </w:rPr>
        <w:t>.</w:t>
      </w:r>
    </w:p>
    <w:p w:rsidR="002B6CC3" w:rsidRDefault="002B6CC3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411" w:rsidRPr="00E80411" w:rsidRDefault="00E80411" w:rsidP="00E804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4161612"/>
      <w:r w:rsidRPr="00E804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 соответствии с пунктом 52 Основ ценообразования в сфере теплоснабжения, утвержденных постановление Правительства Российской Федерации от 22.10.2017 № 1075 </w:t>
      </w:r>
      <w:r w:rsidRPr="00E804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 регулирования ежегодно в течение долгосрочного периода регулирования осуществляет корректировку долгосрочного тарифа, ранее установленного на год, следующий за текущим годом, в соответствии с методическими указаниями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</w:t>
      </w:r>
      <w:r w:rsidRPr="00E80411">
        <w:rPr>
          <w:rFonts w:ascii="Times New Roman" w:eastAsia="Times New Roman" w:hAnsi="Times New Roman" w:cs="Times New Roman"/>
          <w:sz w:val="24"/>
          <w:szCs w:val="24"/>
        </w:rPr>
        <w:t xml:space="preserve">долгосрочных тарифов, за исключением долгосрочных параметров регулирования. </w:t>
      </w:r>
    </w:p>
    <w:p w:rsidR="00E80411" w:rsidRPr="00E80411" w:rsidRDefault="00E80411" w:rsidP="00E80411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04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Вместе с тем в течение 2019 года ПАО «Ростелеком» (Калужский филиал </w:t>
      </w:r>
      <w:r w:rsidRPr="00E8041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ПАО «Ростелеком», для которого тарифы на тепловую энергию (мощность) установлены методом долгосрочной индексации, прекратило регулируемый вид деятельности в сфере теплоснабжения, в связи, с чем было исключено </w:t>
      </w:r>
      <w:r w:rsidRPr="00E80411">
        <w:rPr>
          <w:rFonts w:ascii="Times New Roman" w:eastAsiaTheme="minorHAnsi" w:hAnsi="Times New Roman"/>
          <w:sz w:val="24"/>
          <w:szCs w:val="24"/>
          <w:lang w:eastAsia="en-US"/>
        </w:rPr>
        <w:t>из информационной базы «Реестр теплоснабжающих организаций Калужской области».</w:t>
      </w:r>
    </w:p>
    <w:p w:rsidR="00E80411" w:rsidRPr="00E80411" w:rsidRDefault="00E80411" w:rsidP="00E80411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041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 вышеизложенного</w:t>
      </w:r>
      <w:r w:rsidR="006F23C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804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23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предлагается комиссии </w:t>
      </w:r>
      <w:r w:rsidRPr="00E804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министерства конкурентной политики Калужской области от 26.11.2018 № 196-РК «Об установлении тарифов на тепловую энергию (мощность) для публичного акционерного общества «Ростелеком» (Калужский филиал ПАО «Ростелеком») на 2019 - 2023 годы» признать утратившим силу. </w:t>
      </w:r>
    </w:p>
    <w:p w:rsidR="00E80411" w:rsidRDefault="00E80411" w:rsidP="00AB4C2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C25" w:rsidRPr="00E80411" w:rsidRDefault="00AB4C25" w:rsidP="00AB4C2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411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E80411" w:rsidRPr="00E80411" w:rsidRDefault="00E80411" w:rsidP="00AB4C2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411">
        <w:rPr>
          <w:rFonts w:ascii="Times New Roman" w:hAnsi="Times New Roman" w:cs="Times New Roman"/>
          <w:color w:val="000000"/>
          <w:sz w:val="24"/>
          <w:szCs w:val="24"/>
        </w:rPr>
        <w:t>С 23 августа 2019 года признать утратившим силу приказ министерства конкурентной политики Калужской области от 26.11.2018 № 196-РК «Об установлении тарифов на тепловую энергию (мощность) для Публичного акционерного общества «Ростелеком» (Калужский филиал ПАО «Ростелеком») на 2019 - 2023 годы».</w:t>
      </w:r>
    </w:p>
    <w:bookmarkEnd w:id="5"/>
    <w:p w:rsidR="000D7919" w:rsidRDefault="000D7919" w:rsidP="00AB4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C25" w:rsidRPr="00E80411" w:rsidRDefault="00AB4C25" w:rsidP="00AB4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411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E80411" w:rsidRPr="00E80411">
        <w:rPr>
          <w:rFonts w:ascii="Times New Roman" w:hAnsi="Times New Roman" w:cs="Times New Roman"/>
          <w:b/>
          <w:sz w:val="24"/>
          <w:szCs w:val="24"/>
        </w:rPr>
        <w:t>01</w:t>
      </w:r>
      <w:r w:rsidRPr="00E80411">
        <w:rPr>
          <w:rFonts w:ascii="Times New Roman" w:hAnsi="Times New Roman" w:cs="Times New Roman"/>
          <w:b/>
          <w:sz w:val="24"/>
          <w:szCs w:val="24"/>
        </w:rPr>
        <w:t>.0</w:t>
      </w:r>
      <w:r w:rsidR="00E80411" w:rsidRPr="00E80411">
        <w:rPr>
          <w:rFonts w:ascii="Times New Roman" w:hAnsi="Times New Roman" w:cs="Times New Roman"/>
          <w:b/>
          <w:sz w:val="24"/>
          <w:szCs w:val="24"/>
        </w:rPr>
        <w:t>8</w:t>
      </w:r>
      <w:r w:rsidRPr="00E80411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461413" w:rsidRPr="00E80411">
        <w:rPr>
          <w:rFonts w:ascii="Times New Roman" w:hAnsi="Times New Roman" w:cs="Times New Roman"/>
          <w:b/>
          <w:sz w:val="24"/>
          <w:szCs w:val="24"/>
        </w:rPr>
        <w:br/>
      </w:r>
      <w:r w:rsidRPr="00E80411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AB4C25" w:rsidRPr="00E80411" w:rsidRDefault="00AB4C25" w:rsidP="00AB4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C25" w:rsidRDefault="00AB4C25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411" w:rsidRPr="00463E6B" w:rsidRDefault="00E80411" w:rsidP="00E80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80411">
        <w:rPr>
          <w:rFonts w:ascii="Times New Roman" w:hAnsi="Times New Roman" w:cs="Times New Roman"/>
          <w:b/>
          <w:sz w:val="24"/>
          <w:szCs w:val="24"/>
        </w:rPr>
        <w:t xml:space="preserve"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80411">
        <w:rPr>
          <w:rFonts w:ascii="Times New Roman" w:hAnsi="Times New Roman" w:cs="Times New Roman"/>
          <w:b/>
          <w:sz w:val="24"/>
          <w:szCs w:val="24"/>
        </w:rPr>
        <w:t>осударственного предприятия Калужской области «Калугаоблводоканал» объекта капитального строительства: «Конгресс центр», расположенного по адресу: г. Калуга, набережная Яченского водохранилища, по проекту заявителя ООО «Международный парк развлечений и туризма»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0411" w:rsidRPr="002C7220" w:rsidRDefault="00E80411" w:rsidP="00E8041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E80411" w:rsidRPr="002C7220" w:rsidRDefault="00E80411" w:rsidP="00E8041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0D7919">
        <w:rPr>
          <w:rFonts w:ascii="Times New Roman" w:hAnsi="Times New Roman" w:cs="Times New Roman"/>
          <w:b/>
          <w:sz w:val="24"/>
          <w:szCs w:val="24"/>
        </w:rPr>
        <w:t xml:space="preserve">О.А. </w:t>
      </w:r>
      <w:r>
        <w:rPr>
          <w:rFonts w:ascii="Times New Roman" w:hAnsi="Times New Roman" w:cs="Times New Roman"/>
          <w:b/>
          <w:sz w:val="24"/>
          <w:szCs w:val="24"/>
        </w:rPr>
        <w:t>Викторова.</w:t>
      </w:r>
    </w:p>
    <w:p w:rsidR="00E80411" w:rsidRDefault="00E80411" w:rsidP="00E8041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411" w:rsidRPr="005D114B" w:rsidRDefault="00E80411" w:rsidP="005D11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14B">
        <w:rPr>
          <w:rFonts w:ascii="Times New Roman" w:hAnsi="Times New Roman"/>
          <w:sz w:val="24"/>
          <w:szCs w:val="24"/>
        </w:rPr>
        <w:t xml:space="preserve">Государственное предприятие Калужской области «Калугаоблводоканал» (далее – ГП «Калугаоблводоканал»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централизованным системам холодного водоснабжения и водоотведения предприятия </w:t>
      </w:r>
      <w:r w:rsidRPr="005D114B">
        <w:rPr>
          <w:rFonts w:ascii="Times New Roman" w:eastAsia="Times New Roman" w:hAnsi="Times New Roman"/>
          <w:sz w:val="24"/>
          <w:szCs w:val="24"/>
        </w:rPr>
        <w:t>объекта капитального строительства:</w:t>
      </w:r>
      <w:r w:rsidRPr="005D114B">
        <w:rPr>
          <w:rFonts w:ascii="Times New Roman" w:eastAsia="Times New Roman" w:hAnsi="Times New Roman"/>
          <w:color w:val="000000"/>
          <w:sz w:val="24"/>
          <w:szCs w:val="24"/>
        </w:rPr>
        <w:t xml:space="preserve"> «Конгресс центр», расположенного по адресу: г. Калуга, набережная Яченского водохранилища, по индивидуальному проекту заявителя ООО</w:t>
      </w:r>
      <w:r w:rsidRPr="005D114B">
        <w:rPr>
          <w:sz w:val="24"/>
          <w:szCs w:val="24"/>
        </w:rPr>
        <w:t xml:space="preserve"> </w:t>
      </w:r>
      <w:r w:rsidRPr="005D114B">
        <w:rPr>
          <w:rFonts w:ascii="Times New Roman" w:eastAsia="Times New Roman" w:hAnsi="Times New Roman"/>
          <w:color w:val="000000"/>
          <w:sz w:val="24"/>
          <w:szCs w:val="24"/>
        </w:rPr>
        <w:t>«Международный парк развлечений и туризма» (далее – объект Заявителя)</w:t>
      </w:r>
      <w:r w:rsidRPr="005D114B">
        <w:rPr>
          <w:rFonts w:ascii="Times New Roman" w:hAnsi="Times New Roman"/>
          <w:sz w:val="24"/>
          <w:szCs w:val="24"/>
        </w:rPr>
        <w:t xml:space="preserve"> (письмо от 25.06.2019г. № 03/2505-19).</w:t>
      </w:r>
    </w:p>
    <w:p w:rsidR="00E80411" w:rsidRPr="005D114B" w:rsidRDefault="00E80411" w:rsidP="005D114B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>Суммарная подключаемая нагрузка в точке подключения объекта Заявителя составляет:</w:t>
      </w:r>
    </w:p>
    <w:p w:rsidR="00E80411" w:rsidRPr="005D114B" w:rsidRDefault="00E80411" w:rsidP="005D114B">
      <w:pPr>
        <w:spacing w:after="0" w:line="240" w:lineRule="auto"/>
        <w:ind w:left="708"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114B">
        <w:rPr>
          <w:rFonts w:ascii="Times New Roman" w:hAnsi="Times New Roman"/>
          <w:sz w:val="24"/>
          <w:szCs w:val="24"/>
        </w:rPr>
        <w:t>- по водопотреблению – 107,79 куб. м в сутки;</w:t>
      </w:r>
    </w:p>
    <w:p w:rsidR="00E80411" w:rsidRPr="005D114B" w:rsidRDefault="00E80411" w:rsidP="005D11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14B">
        <w:rPr>
          <w:rFonts w:ascii="Times New Roman" w:hAnsi="Times New Roman"/>
          <w:sz w:val="24"/>
          <w:szCs w:val="24"/>
        </w:rPr>
        <w:tab/>
      </w:r>
      <w:r w:rsidRPr="005D114B">
        <w:rPr>
          <w:rFonts w:ascii="Times New Roman" w:hAnsi="Times New Roman"/>
          <w:sz w:val="24"/>
          <w:szCs w:val="24"/>
        </w:rPr>
        <w:tab/>
        <w:t>- по водоотведению – 107,79 куб. м в сутки.</w:t>
      </w:r>
    </w:p>
    <w:p w:rsidR="00E80411" w:rsidRPr="005D114B" w:rsidRDefault="00E80411" w:rsidP="005D1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0411" w:rsidRPr="005D114B" w:rsidRDefault="00E80411" w:rsidP="005D1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14B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Калужской области от 07.06.2017 № 345 «О внесении изменений в постановление Правительства Калужской области от </w:t>
      </w:r>
      <w:r w:rsidRPr="005D114B">
        <w:rPr>
          <w:rFonts w:ascii="Times New Roman" w:hAnsi="Times New Roman"/>
          <w:sz w:val="24"/>
          <w:szCs w:val="24"/>
        </w:rPr>
        <w:lastRenderedPageBreak/>
        <w:t>29.09.2014 № 572 «Об 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:rsidR="00E80411" w:rsidRPr="005D114B" w:rsidRDefault="00E80411" w:rsidP="005D11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14B">
        <w:rPr>
          <w:rFonts w:ascii="Times New Roman" w:hAnsi="Times New Roman"/>
          <w:sz w:val="24"/>
          <w:szCs w:val="24"/>
        </w:rPr>
        <w:t>Испрашиваемый предприятием размер платы за подключение (технологическое присоединение) без учета НДС:</w:t>
      </w:r>
    </w:p>
    <w:p w:rsidR="00E80411" w:rsidRPr="005D114B" w:rsidRDefault="00E80411" w:rsidP="005D11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14B">
        <w:rPr>
          <w:rFonts w:ascii="Times New Roman" w:hAnsi="Times New Roman"/>
          <w:sz w:val="24"/>
          <w:szCs w:val="24"/>
        </w:rPr>
        <w:t>- к централизованной системе холодного водоснабжения – 10 731,965 тыс. руб.</w:t>
      </w:r>
    </w:p>
    <w:p w:rsidR="00E80411" w:rsidRPr="005D114B" w:rsidRDefault="00E80411" w:rsidP="005D11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114B">
        <w:rPr>
          <w:rFonts w:ascii="Times New Roman" w:hAnsi="Times New Roman"/>
          <w:sz w:val="24"/>
          <w:szCs w:val="24"/>
        </w:rPr>
        <w:t>к централизованной системе водоотведения – 14 482,837 тыс. руб.</w:t>
      </w:r>
    </w:p>
    <w:p w:rsidR="00E80411" w:rsidRPr="005D114B" w:rsidRDefault="00E80411" w:rsidP="005D11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>Для обоснования расчета платы предприятием представлены:</w:t>
      </w:r>
    </w:p>
    <w:p w:rsidR="00E80411" w:rsidRPr="005D114B" w:rsidRDefault="00E80411" w:rsidP="005D1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>1. Локально - сметные расчеты на подключение к сетям холодного водоснабжения и водоотведения от объекта заявителя до точки подключения к существующим централизованным сетям холодного водоснабжения и водоотведения: № 2, 3, 4 (далее - сметные расчеты № 2, 3, 4).</w:t>
      </w:r>
    </w:p>
    <w:p w:rsidR="00E80411" w:rsidRPr="005D114B" w:rsidRDefault="00E80411" w:rsidP="005D1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>2. Сметный расчет на проектные (изыскательские) работы (далее – ПИР) № 1.</w:t>
      </w:r>
    </w:p>
    <w:p w:rsidR="00E80411" w:rsidRPr="005D114B" w:rsidRDefault="00E80411" w:rsidP="005D1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 xml:space="preserve">3. Расчет платы за подключение </w:t>
      </w:r>
      <w:r w:rsidRPr="005D114B">
        <w:rPr>
          <w:rFonts w:ascii="Times New Roman" w:eastAsia="Times New Roman" w:hAnsi="Times New Roman"/>
          <w:bCs/>
          <w:sz w:val="24"/>
          <w:szCs w:val="24"/>
        </w:rPr>
        <w:t>(технологическое присоединение) к централизованным системам холодного водоснабжения и водоотведения предприятия</w:t>
      </w:r>
      <w:r w:rsidRPr="005D114B">
        <w:rPr>
          <w:rFonts w:ascii="Times New Roman" w:eastAsia="Times New Roman" w:hAnsi="Times New Roman"/>
          <w:sz w:val="24"/>
          <w:szCs w:val="24"/>
        </w:rPr>
        <w:t>.</w:t>
      </w:r>
    </w:p>
    <w:p w:rsidR="00E80411" w:rsidRPr="005D114B" w:rsidRDefault="00E80411" w:rsidP="005D1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>4. А</w:t>
      </w:r>
      <w:r w:rsidRPr="005D114B">
        <w:rPr>
          <w:rFonts w:ascii="Times New Roman" w:hAnsi="Times New Roman"/>
          <w:sz w:val="24"/>
          <w:szCs w:val="24"/>
        </w:rPr>
        <w:t>кт от 28.03.2019г. № 317 технического освидетельствования участка водопроводной/ канализационной сети (далее – акт технического освидетельствования).</w:t>
      </w:r>
    </w:p>
    <w:p w:rsidR="00E80411" w:rsidRPr="005D114B" w:rsidRDefault="00E80411" w:rsidP="005D1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114B">
        <w:rPr>
          <w:rFonts w:ascii="Times New Roman" w:eastAsia="Times New Roman" w:hAnsi="Times New Roman"/>
          <w:sz w:val="24"/>
          <w:szCs w:val="24"/>
        </w:rPr>
        <w:tab/>
      </w:r>
      <w:r w:rsidRPr="005D114B">
        <w:rPr>
          <w:rFonts w:ascii="Times New Roman" w:hAnsi="Times New Roman"/>
          <w:sz w:val="24"/>
          <w:szCs w:val="24"/>
        </w:rPr>
        <w:t>При проведении экспертизы размера платы за подключение (технологическое присоединение)</w:t>
      </w:r>
      <w:r w:rsidRPr="005D114B">
        <w:rPr>
          <w:rFonts w:ascii="Times New Roman" w:eastAsia="Times New Roman" w:hAnsi="Times New Roman"/>
          <w:sz w:val="24"/>
          <w:szCs w:val="24"/>
        </w:rPr>
        <w:t xml:space="preserve"> объекта капитального строительства</w:t>
      </w:r>
      <w:r w:rsidRPr="005D114B">
        <w:rPr>
          <w:rFonts w:ascii="Times New Roman" w:hAnsi="Times New Roman"/>
          <w:sz w:val="24"/>
          <w:szCs w:val="24"/>
        </w:rPr>
        <w:t xml:space="preserve"> к централизованным системам холодного водоснабжения и водоотведения предприятия экспертная группа руководствуется соответствующими законодательными и правовыми актами в сфере регулирования тарифов </w:t>
      </w:r>
      <w:r w:rsidRPr="005D114B">
        <w:rPr>
          <w:rFonts w:ascii="Times New Roman" w:eastAsia="Times New Roman" w:hAnsi="Times New Roman"/>
          <w:bCs/>
          <w:spacing w:val="-7"/>
          <w:sz w:val="24"/>
          <w:szCs w:val="24"/>
        </w:rPr>
        <w:t>по водоснабжению и водоотведению.</w:t>
      </w:r>
    </w:p>
    <w:p w:rsidR="000D7919" w:rsidRDefault="000D7919" w:rsidP="005D114B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E80411" w:rsidRPr="005D114B" w:rsidRDefault="00E80411" w:rsidP="005D114B">
      <w:pPr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114B">
        <w:rPr>
          <w:rFonts w:ascii="Times New Roman" w:hAnsi="Times New Roman"/>
          <w:sz w:val="24"/>
          <w:szCs w:val="24"/>
        </w:rPr>
        <w:t>Согласно письму министерства строительства и жилищно-коммунального хозяйства Калужской области от 10.07.2019 № 4792-19, и</w:t>
      </w:r>
      <w:r w:rsidRPr="005D114B">
        <w:rPr>
          <w:rFonts w:ascii="Times New Roman" w:eastAsia="Times New Roman" w:hAnsi="Times New Roman"/>
          <w:sz w:val="24"/>
          <w:szCs w:val="24"/>
        </w:rPr>
        <w:t xml:space="preserve">нвестиционная программа </w:t>
      </w:r>
      <w:r w:rsidRPr="005D114B">
        <w:rPr>
          <w:rFonts w:ascii="Times New Roman" w:hAnsi="Times New Roman"/>
          <w:sz w:val="24"/>
          <w:szCs w:val="24"/>
        </w:rPr>
        <w:t>ГП «Калугаоблводоканал»,</w:t>
      </w:r>
      <w:r w:rsidRPr="005D114B">
        <w:rPr>
          <w:rFonts w:ascii="Times New Roman" w:eastAsia="Times New Roman" w:hAnsi="Times New Roman"/>
          <w:sz w:val="24"/>
          <w:szCs w:val="24"/>
        </w:rPr>
        <w:t xml:space="preserve"> осуществляющего эксплуатацию сетей инженерно-технического обеспечения, </w:t>
      </w:r>
      <w:r w:rsidRPr="005D114B">
        <w:rPr>
          <w:rFonts w:ascii="Times New Roman" w:hAnsi="Times New Roman"/>
          <w:sz w:val="24"/>
          <w:szCs w:val="24"/>
        </w:rPr>
        <w:t>утвержденная приказом министерства строительства и жилищно-коммунального хозяйства Калужской области от 17.05.2017 № 225 (далее – инвестиционная программа),</w:t>
      </w:r>
      <w:r w:rsidRPr="005D114B">
        <w:rPr>
          <w:rFonts w:ascii="Times New Roman" w:eastAsia="Times New Roman" w:hAnsi="Times New Roman"/>
          <w:sz w:val="24"/>
          <w:szCs w:val="24"/>
        </w:rPr>
        <w:t xml:space="preserve"> от</w:t>
      </w:r>
      <w:r w:rsidRPr="005D114B">
        <w:rPr>
          <w:rFonts w:ascii="Times New Roman" w:hAnsi="Times New Roman"/>
          <w:sz w:val="24"/>
          <w:szCs w:val="24"/>
        </w:rPr>
        <w:t>корректирована без учета мероприятий, необходимых для подключения объекта Заявителя.</w:t>
      </w:r>
    </w:p>
    <w:p w:rsidR="00E80411" w:rsidRPr="005D114B" w:rsidRDefault="00E80411" w:rsidP="005D11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>Согласно перечню мероприятий, указанных в акте технического</w:t>
      </w:r>
      <w:r w:rsidRPr="005D114B">
        <w:rPr>
          <w:rFonts w:ascii="Times New Roman" w:hAnsi="Times New Roman"/>
          <w:sz w:val="24"/>
          <w:szCs w:val="24"/>
        </w:rPr>
        <w:t xml:space="preserve"> </w:t>
      </w:r>
      <w:r w:rsidRPr="005D114B">
        <w:rPr>
          <w:rFonts w:ascii="Times New Roman" w:eastAsia="Times New Roman" w:hAnsi="Times New Roman"/>
          <w:sz w:val="24"/>
          <w:szCs w:val="24"/>
        </w:rPr>
        <w:t>освидетельствования, для осуществления подключения (технологического присоединения) объекта Заявителя к сетям холодного водоснабжения и водоотведения, необходимо выполнить мероприятия по прокладке сетей холодного водоснабжения и водоотведения.</w:t>
      </w:r>
    </w:p>
    <w:p w:rsidR="000D7919" w:rsidRDefault="000D7919" w:rsidP="005D114B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80411" w:rsidRPr="005D114B" w:rsidRDefault="00E80411" w:rsidP="005D114B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>Мероприятия по прокладке сетей холодного водоснабжения для объекта Заявителя, включают в себя:</w:t>
      </w:r>
    </w:p>
    <w:p w:rsidR="00E80411" w:rsidRPr="005D114B" w:rsidRDefault="00E80411" w:rsidP="005D114B">
      <w:pPr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114B">
        <w:rPr>
          <w:rFonts w:ascii="Times New Roman" w:eastAsia="Times New Roman" w:hAnsi="Times New Roman"/>
          <w:bCs/>
          <w:sz w:val="24"/>
          <w:szCs w:val="24"/>
        </w:rPr>
        <w:t>Строительство водовода диаметром (далее – Д) Д=160 мм от площадки застройки (границы земельного участка) до точки подключения Д=500 мм (перекресток ул. Октябрьская/Комарова), протяженностью 590 п. м.</w:t>
      </w:r>
    </w:p>
    <w:p w:rsidR="00E80411" w:rsidRPr="005D114B" w:rsidRDefault="00E80411" w:rsidP="005D114B">
      <w:pPr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114B">
        <w:rPr>
          <w:rFonts w:ascii="Times New Roman" w:eastAsia="Times New Roman" w:hAnsi="Times New Roman"/>
          <w:bCs/>
          <w:sz w:val="24"/>
          <w:szCs w:val="24"/>
        </w:rPr>
        <w:t>Прокладка футляра Д=350 мм при пересечении ул. Парижской Коммуны, протяженностью 30 п. м., методом ГНБ.</w:t>
      </w:r>
    </w:p>
    <w:p w:rsidR="00E80411" w:rsidRPr="005D114B" w:rsidRDefault="00E80411" w:rsidP="005D114B">
      <w:pPr>
        <w:numPr>
          <w:ilvl w:val="0"/>
          <w:numId w:val="7"/>
        </w:numPr>
        <w:spacing w:after="0" w:line="240" w:lineRule="auto"/>
        <w:ind w:left="709" w:right="-1" w:hanging="142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114B">
        <w:rPr>
          <w:rFonts w:ascii="Times New Roman" w:eastAsia="Times New Roman" w:hAnsi="Times New Roman"/>
          <w:bCs/>
          <w:sz w:val="24"/>
          <w:szCs w:val="24"/>
        </w:rPr>
        <w:t>Устройство смотровых ж/бетонных водопроводных колодцев Д=1,5 м – 7 шт.</w:t>
      </w:r>
    </w:p>
    <w:p w:rsidR="00E80411" w:rsidRPr="005D114B" w:rsidRDefault="00E80411" w:rsidP="005D114B">
      <w:pPr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114B">
        <w:rPr>
          <w:rFonts w:ascii="Times New Roman" w:eastAsia="Times New Roman" w:hAnsi="Times New Roman"/>
          <w:bCs/>
          <w:sz w:val="24"/>
          <w:szCs w:val="24"/>
        </w:rPr>
        <w:t>Строительство в точке подключения ж/бетонной камеры 2,5*3,5 м с установкой задвижек: Д=500 мм – 1 шт., Д=300 мм – 1 шт.</w:t>
      </w:r>
    </w:p>
    <w:p w:rsidR="00E80411" w:rsidRPr="005D114B" w:rsidRDefault="00E80411" w:rsidP="005D114B">
      <w:pPr>
        <w:spacing w:after="0" w:line="240" w:lineRule="auto"/>
        <w:ind w:left="709" w:right="-1" w:hanging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>Мероприятия по прокладке сетей водоотведения, включают в себя:</w:t>
      </w:r>
    </w:p>
    <w:p w:rsidR="00E80411" w:rsidRPr="005D114B" w:rsidRDefault="00E80411" w:rsidP="005D1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>Строительство самотечного канализационного коллектора Д=250мм, с уклоном не менее 1000i=6, от площадки застройки (границы земельного участка) до проектируемой канализационной насосной станции (КНС), протяженностью 514 п. м.</w:t>
      </w:r>
    </w:p>
    <w:p w:rsidR="00E80411" w:rsidRPr="005D114B" w:rsidRDefault="00E80411" w:rsidP="005D1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lastRenderedPageBreak/>
        <w:t>Строительство смотровых колодцев Д=1,5м. – 11 шт.</w:t>
      </w:r>
    </w:p>
    <w:p w:rsidR="00E80411" w:rsidRPr="005D114B" w:rsidRDefault="00E80411" w:rsidP="005D1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>Строительство погружной КНС, производительностью не менее 107,791 м³/сутки, с обустройством 2-х насосных агрегатов из 3 возможных и дробилки для стоков.</w:t>
      </w:r>
    </w:p>
    <w:p w:rsidR="00E80411" w:rsidRPr="005D114B" w:rsidRDefault="00E80411" w:rsidP="005D1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>Строительство напорного канализационного коллектора 2Д=160 мм (рабочий и резервный), протяженностью 168 м каждая линия (общей протяженности 336 п. м.).</w:t>
      </w:r>
    </w:p>
    <w:p w:rsidR="00E80411" w:rsidRPr="005D114B" w:rsidRDefault="00E80411" w:rsidP="005D1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>В точке подключения предусмотрен монтаж колодца-гасителя Д=2м для перехода в существующий самотечный коллектор Д=500 мм по ул. Парижской Коммуны.</w:t>
      </w:r>
    </w:p>
    <w:p w:rsidR="00E80411" w:rsidRPr="005D114B" w:rsidRDefault="00E80411" w:rsidP="005D114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:rsidR="00E80411" w:rsidRPr="005D114B" w:rsidRDefault="00E80411" w:rsidP="005D114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 xml:space="preserve">Экспертной группой проведён анализ затрат, связанных с </w:t>
      </w:r>
      <w:r w:rsidRPr="005D114B">
        <w:rPr>
          <w:rFonts w:ascii="Times New Roman" w:eastAsia="Times New Roman" w:hAnsi="Times New Roman"/>
          <w:bCs/>
          <w:sz w:val="24"/>
          <w:szCs w:val="24"/>
        </w:rPr>
        <w:t>платой за подключение (технологическое присоединение) к централизованным системам холодного водоснабжения и водоотведения объекта Заявителя, в результате которого:</w:t>
      </w:r>
    </w:p>
    <w:p w:rsidR="00E80411" w:rsidRPr="005D114B" w:rsidRDefault="00E80411" w:rsidP="005D114B">
      <w:pPr>
        <w:pStyle w:val="Default"/>
        <w:numPr>
          <w:ilvl w:val="0"/>
          <w:numId w:val="9"/>
        </w:numPr>
        <w:ind w:left="0" w:firstLine="540"/>
        <w:jc w:val="both"/>
        <w:rPr>
          <w:rFonts w:eastAsia="Times New Roman"/>
          <w:color w:val="auto"/>
        </w:rPr>
      </w:pPr>
      <w:r w:rsidRPr="005D114B">
        <w:rPr>
          <w:rFonts w:eastAsia="Times New Roman"/>
          <w:color w:val="auto"/>
        </w:rPr>
        <w:t xml:space="preserve"> Индивидуальная плата за подключение (технологическое присоединение) к централизованной системе холодного водоснабжения объекта Заявителя снижена на сумму 4 043,054 тыс. руб. и составит 6 688,916 тыс. руб. без учета НДС.</w:t>
      </w:r>
    </w:p>
    <w:p w:rsidR="00E80411" w:rsidRPr="005D114B" w:rsidRDefault="00E80411" w:rsidP="005D114B">
      <w:pPr>
        <w:pStyle w:val="Default"/>
        <w:numPr>
          <w:ilvl w:val="0"/>
          <w:numId w:val="9"/>
        </w:numPr>
        <w:ind w:left="0" w:firstLine="540"/>
        <w:jc w:val="both"/>
        <w:rPr>
          <w:rFonts w:eastAsia="Times New Roman"/>
          <w:color w:val="auto"/>
        </w:rPr>
      </w:pPr>
      <w:r w:rsidRPr="005D114B">
        <w:rPr>
          <w:rFonts w:eastAsia="Times New Roman"/>
        </w:rPr>
        <w:t>Индивидуальная плата за подключение (технологическое присоединение) к централизованной системе водоотведения объекта Заявителя снижена на сумму</w:t>
      </w:r>
      <w:r w:rsidRPr="005D114B">
        <w:rPr>
          <w:rFonts w:eastAsia="Times New Roman"/>
          <w:color w:val="auto"/>
        </w:rPr>
        <w:t xml:space="preserve"> 2 646,728 тыс. руб. и составит 11 836,109 тыс. руб. без учета НДС.</w:t>
      </w:r>
    </w:p>
    <w:p w:rsidR="00E80411" w:rsidRPr="005D114B" w:rsidRDefault="00E80411" w:rsidP="005D114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114B">
        <w:rPr>
          <w:rFonts w:ascii="Times New Roman" w:hAnsi="Times New Roman"/>
          <w:sz w:val="24"/>
          <w:szCs w:val="24"/>
        </w:rPr>
        <w:t>В соответствие пункту 121 Методических указаний,</w:t>
      </w:r>
      <w:r w:rsidRPr="005D114B">
        <w:rPr>
          <w:rFonts w:ascii="Times New Roman" w:eastAsia="Times New Roman" w:hAnsi="Times New Roman"/>
          <w:bCs/>
          <w:sz w:val="24"/>
          <w:szCs w:val="24"/>
        </w:rPr>
        <w:t xml:space="preserve"> расходы приняты в размере, не превышающем величину,</w:t>
      </w:r>
      <w:r w:rsidRPr="005D114B">
        <w:rPr>
          <w:rFonts w:ascii="Times New Roman" w:eastAsia="Times New Roman" w:hAnsi="Times New Roman"/>
          <w:sz w:val="24"/>
          <w:szCs w:val="24"/>
        </w:rPr>
        <w:t xml:space="preserve"> рассчитанную на основе укрупненных</w:t>
      </w:r>
      <w:r w:rsidRPr="005D114B">
        <w:rPr>
          <w:rFonts w:ascii="Times New Roman" w:eastAsia="Times New Roman" w:hAnsi="Times New Roman"/>
          <w:bCs/>
          <w:sz w:val="24"/>
          <w:szCs w:val="24"/>
        </w:rPr>
        <w:t xml:space="preserve">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(далее – НЦС).</w:t>
      </w:r>
    </w:p>
    <w:p w:rsidR="00E80411" w:rsidRPr="005D114B" w:rsidRDefault="00E80411" w:rsidP="005D11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114B">
        <w:rPr>
          <w:rFonts w:ascii="Times New Roman" w:hAnsi="Times New Roman"/>
          <w:sz w:val="24"/>
          <w:szCs w:val="24"/>
        </w:rPr>
        <w:t>В откорректированной инвестиционной программе мероприятия, необходимые для подключения объекта Заявителя отсутствуют, в результате чего, экспертная группа не может подтвердить заявленные предприятием объемы.</w:t>
      </w:r>
    </w:p>
    <w:p w:rsidR="00E80411" w:rsidRPr="005D114B" w:rsidRDefault="00E80411" w:rsidP="005D11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>Расчет платы произведен с учетом</w:t>
      </w:r>
      <w:r w:rsidRPr="005D114B">
        <w:rPr>
          <w:rFonts w:ascii="Times New Roman" w:hAnsi="Times New Roman"/>
          <w:sz w:val="24"/>
          <w:szCs w:val="24"/>
        </w:rPr>
        <w:t xml:space="preserve"> положений пункта 25 НЦС 81-02-14-2017. Сборник № 14. «Наружные сети водоснабжения и канализации».</w:t>
      </w:r>
    </w:p>
    <w:p w:rsidR="00E80411" w:rsidRDefault="00E80411" w:rsidP="00E80411">
      <w:pPr>
        <w:spacing w:after="0" w:line="23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D114B">
        <w:rPr>
          <w:rFonts w:ascii="Times New Roman" w:eastAsia="Times New Roman" w:hAnsi="Times New Roman"/>
          <w:sz w:val="24"/>
          <w:szCs w:val="24"/>
        </w:rPr>
        <w:t>Расчет платы за подключение (технологическое присоединение) объекта Заявителя, приведен в ТАБЛИЦЕ:</w:t>
      </w:r>
    </w:p>
    <w:p w:rsidR="000D7919" w:rsidRPr="005D114B" w:rsidRDefault="000D7919" w:rsidP="00E80411">
      <w:pPr>
        <w:spacing w:after="0" w:line="23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685"/>
        <w:gridCol w:w="1938"/>
        <w:gridCol w:w="874"/>
        <w:gridCol w:w="1223"/>
        <w:gridCol w:w="1001"/>
        <w:gridCol w:w="908"/>
        <w:gridCol w:w="1223"/>
        <w:gridCol w:w="1001"/>
        <w:gridCol w:w="908"/>
      </w:tblGrid>
      <w:tr w:rsidR="00E80411" w:rsidRPr="00121E39" w:rsidTr="00121E39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Ед.изм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расчетам предприятия ХВС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расчетам экспертов ХВС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Разница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расчетам предприятия ВО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расчетам экспертов ВО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Разница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ИПЦ на 2020г.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10731,97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6688,916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4043,049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14482,837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11836,109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2646,728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1234,874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807,916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426,958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1259,212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859,509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399,703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1234,874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807,916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426,958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1259,212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807,916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451,296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сырье и материалы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электрическую энергию (мощность</w:t>
            </w:r>
            <w:proofErr w:type="gram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),тепловую</w:t>
            </w:r>
            <w:proofErr w:type="gram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энергию, другие </w:t>
            </w:r>
            <w:proofErr w:type="spell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энергети-ческие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ресурсы и </w:t>
            </w: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холодную воду (промывку сетей)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тыс.руб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работ и услуг сторонних организаций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отчисления на социальные нужды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1,612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услуги банков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1,612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2146,393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1337,783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808,610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2896,567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2367,222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529,346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расходов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относимые на ставку за протяженность сети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относимые на ставку за подключаемую нагрузку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6863,029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4406,217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2456,813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9734,179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8285,948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1448,231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481,555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133,109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348,445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585,481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317,644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267,837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сетей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вновь создаваемых сетей диаметром от 150 мм до 200 мм (включительно)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вновь создаваемых сетей диаметром от 200 мм до 250 мм (включительно)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411" w:rsidRPr="00121E39" w:rsidTr="00121E39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Подключаемая нагрузка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107,791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107,791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107,791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107,791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1" w:rsidRPr="00121E39" w:rsidRDefault="00E80411" w:rsidP="00E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D7919" w:rsidRDefault="000D7919" w:rsidP="00E80411">
      <w:pPr>
        <w:spacing w:after="0" w:line="23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80411" w:rsidRPr="00121E39" w:rsidRDefault="00E80411" w:rsidP="00E80411">
      <w:pPr>
        <w:spacing w:after="0" w:line="23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121E39">
        <w:rPr>
          <w:rFonts w:ascii="Times New Roman" w:eastAsia="Times New Roman" w:hAnsi="Times New Roman"/>
          <w:sz w:val="24"/>
          <w:szCs w:val="24"/>
        </w:rPr>
        <w:t>Экспертная оценка по установлению платы за подключение (технологическое присоединение)</w:t>
      </w:r>
      <w:r w:rsidRPr="00121E39">
        <w:rPr>
          <w:rFonts w:ascii="Times New Roman" w:hAnsi="Times New Roman"/>
          <w:sz w:val="24"/>
          <w:szCs w:val="24"/>
        </w:rPr>
        <w:t xml:space="preserve"> </w:t>
      </w:r>
      <w:r w:rsidRPr="00121E39">
        <w:rPr>
          <w:rFonts w:ascii="Times New Roman" w:eastAsia="Times New Roman" w:hAnsi="Times New Roman"/>
          <w:sz w:val="24"/>
          <w:szCs w:val="24"/>
        </w:rPr>
        <w:t>изложена в экспертном заключении и приложении к нему.</w:t>
      </w:r>
    </w:p>
    <w:p w:rsidR="000D7919" w:rsidRDefault="000D7919" w:rsidP="00E80411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0411" w:rsidRPr="00121E39" w:rsidRDefault="00E80411" w:rsidP="00E80411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1E39">
        <w:rPr>
          <w:rFonts w:ascii="Times New Roman" w:hAnsi="Times New Roman"/>
          <w:sz w:val="24"/>
          <w:szCs w:val="24"/>
        </w:rPr>
        <w:lastRenderedPageBreak/>
        <w:t>Предлагается комиссии установить экономически обоснованную плату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</w:t>
      </w:r>
      <w:r w:rsidRPr="00121E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1E39">
        <w:rPr>
          <w:rFonts w:ascii="Times New Roman" w:eastAsia="Times New Roman" w:hAnsi="Times New Roman"/>
          <w:color w:val="000000"/>
          <w:sz w:val="24"/>
          <w:szCs w:val="24"/>
        </w:rPr>
        <w:t>«Конгресс центр», расположенного по адресу: г. Калуга, набережная Яченского водохранилища по индивидуальному проекту заявителя ООО «Международный парк развлечений и туризма»</w:t>
      </w:r>
      <w:r w:rsidRPr="00121E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1E39">
        <w:rPr>
          <w:rFonts w:ascii="Times New Roman" w:hAnsi="Times New Roman"/>
          <w:sz w:val="24"/>
          <w:szCs w:val="24"/>
        </w:rPr>
        <w:t>в размере:</w:t>
      </w:r>
    </w:p>
    <w:p w:rsidR="00E80411" w:rsidRPr="00121E39" w:rsidRDefault="00E80411" w:rsidP="00E80411">
      <w:pPr>
        <w:widowControl w:val="0"/>
        <w:autoSpaceDE w:val="0"/>
        <w:autoSpaceDN w:val="0"/>
        <w:adjustRightInd w:val="0"/>
        <w:spacing w:after="0" w:line="235" w:lineRule="auto"/>
        <w:ind w:firstLine="540"/>
        <w:rPr>
          <w:rFonts w:ascii="Times New Roman" w:hAnsi="Times New Roman"/>
          <w:sz w:val="24"/>
          <w:szCs w:val="24"/>
        </w:rPr>
      </w:pPr>
      <w:r w:rsidRPr="00121E39">
        <w:rPr>
          <w:rFonts w:ascii="Times New Roman" w:hAnsi="Times New Roman"/>
          <w:sz w:val="24"/>
          <w:szCs w:val="24"/>
        </w:rPr>
        <w:t>Холодное водоснабжение – 6 688,916 тыс. руб. (без НДС)</w:t>
      </w:r>
    </w:p>
    <w:p w:rsidR="00E80411" w:rsidRPr="00121E39" w:rsidRDefault="00E80411" w:rsidP="00E80411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1E39">
        <w:rPr>
          <w:rFonts w:ascii="Times New Roman" w:hAnsi="Times New Roman"/>
          <w:sz w:val="24"/>
          <w:szCs w:val="24"/>
        </w:rPr>
        <w:t xml:space="preserve">Водоотведение – </w:t>
      </w:r>
      <w:r w:rsidRPr="00121E39">
        <w:rPr>
          <w:rFonts w:ascii="Times New Roman" w:eastAsia="Times New Roman" w:hAnsi="Times New Roman"/>
          <w:sz w:val="24"/>
          <w:szCs w:val="24"/>
        </w:rPr>
        <w:t xml:space="preserve">11 836,109 </w:t>
      </w:r>
      <w:r w:rsidRPr="00121E39">
        <w:rPr>
          <w:rFonts w:ascii="Times New Roman" w:hAnsi="Times New Roman"/>
          <w:sz w:val="24"/>
          <w:szCs w:val="24"/>
        </w:rPr>
        <w:t>тыс. руб. (без НДС)</w:t>
      </w:r>
    </w:p>
    <w:p w:rsidR="000D7919" w:rsidRDefault="000D7919" w:rsidP="00E8041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411" w:rsidRPr="00121E39" w:rsidRDefault="00E80411" w:rsidP="00E8041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E39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121E39" w:rsidRPr="00121E39" w:rsidRDefault="00E80411" w:rsidP="00121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E39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r w:rsidRPr="00121E39">
        <w:rPr>
          <w:rFonts w:ascii="Times New Roman" w:eastAsia="Calibri" w:hAnsi="Times New Roman" w:cs="Times New Roman"/>
          <w:sz w:val="24"/>
          <w:szCs w:val="24"/>
        </w:rPr>
        <w:t>в индивидуальном порядке</w:t>
      </w:r>
      <w:r w:rsidRPr="00121E39">
        <w:rPr>
          <w:rFonts w:ascii="Times New Roman" w:hAnsi="Times New Roman" w:cs="Times New Roman"/>
          <w:sz w:val="24"/>
          <w:szCs w:val="24"/>
        </w:rPr>
        <w:t xml:space="preserve"> размер платы за подключение (технологическое присоединение) к централизованной системе холодного водоснабжения</w:t>
      </w:r>
      <w:r w:rsidRPr="00121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E39" w:rsidRPr="00121E3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21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осударственного предприятия Калужской области «Калугаоблводоканал» </w:t>
      </w:r>
      <w:r w:rsidRPr="00121E39">
        <w:rPr>
          <w:rFonts w:ascii="Times New Roman" w:hAnsi="Times New Roman" w:cs="Times New Roman"/>
          <w:color w:val="000000"/>
          <w:sz w:val="24"/>
          <w:szCs w:val="24"/>
        </w:rPr>
        <w:t xml:space="preserve">объекта капитального строительства: «Конгресс центр», расположенного по адресу: </w:t>
      </w:r>
      <w:r w:rsidR="00121E39" w:rsidRPr="00121E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E39">
        <w:rPr>
          <w:rFonts w:ascii="Times New Roman" w:hAnsi="Times New Roman" w:cs="Times New Roman"/>
          <w:color w:val="000000"/>
          <w:sz w:val="24"/>
          <w:szCs w:val="24"/>
        </w:rPr>
        <w:t xml:space="preserve">г. Калуга, набережная Яченского водохранилища, по проекту заявителя ООО «Международный парк развлечений и туризма» </w:t>
      </w:r>
      <w:r w:rsidRPr="00121E39">
        <w:rPr>
          <w:rFonts w:ascii="Times New Roman" w:hAnsi="Times New Roman" w:cs="Times New Roman"/>
          <w:sz w:val="24"/>
          <w:szCs w:val="24"/>
        </w:rPr>
        <w:t>в размере 6688,916 тыс. руб. (без учета НДС).</w:t>
      </w:r>
    </w:p>
    <w:p w:rsidR="00E80411" w:rsidRPr="00E80411" w:rsidRDefault="00E80411" w:rsidP="00121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E39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r w:rsidRPr="00121E39">
        <w:rPr>
          <w:rFonts w:ascii="Times New Roman" w:eastAsia="Calibri" w:hAnsi="Times New Roman" w:cs="Times New Roman"/>
          <w:sz w:val="24"/>
          <w:szCs w:val="24"/>
        </w:rPr>
        <w:t>в индивидуальном порядке</w:t>
      </w:r>
      <w:r w:rsidRPr="00121E39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 w:rsidRPr="00121E39">
        <w:rPr>
          <w:rFonts w:ascii="Times New Roman" w:hAnsi="Times New Roman" w:cs="Times New Roman"/>
          <w:sz w:val="24"/>
          <w:szCs w:val="24"/>
        </w:rPr>
        <w:t xml:space="preserve">размер платы за подключение (технологическое присоединение) к централизованной системе водоотведения </w:t>
      </w:r>
      <w:r w:rsidR="00121E39" w:rsidRPr="00121E39">
        <w:rPr>
          <w:rFonts w:ascii="Times New Roman" w:hAnsi="Times New Roman" w:cs="Times New Roman"/>
          <w:sz w:val="24"/>
          <w:szCs w:val="24"/>
        </w:rPr>
        <w:t>г</w:t>
      </w:r>
      <w:r w:rsidRPr="00121E39">
        <w:rPr>
          <w:rFonts w:ascii="Times New Roman" w:eastAsia="Calibri" w:hAnsi="Times New Roman" w:cs="Times New Roman"/>
          <w:sz w:val="24"/>
          <w:szCs w:val="24"/>
          <w:lang w:eastAsia="en-US"/>
        </w:rPr>
        <w:t>осударственного предприятия Калужской области «Калугаоблводоканал»</w:t>
      </w:r>
      <w:r w:rsidRPr="00121E39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строительства: «Конгресс центр», рас</w:t>
      </w:r>
      <w:r w:rsidRPr="00E80411">
        <w:rPr>
          <w:rFonts w:ascii="Times New Roman" w:hAnsi="Times New Roman" w:cs="Times New Roman"/>
          <w:color w:val="000000"/>
          <w:sz w:val="24"/>
          <w:szCs w:val="24"/>
        </w:rPr>
        <w:t xml:space="preserve">положенного по адресу: г. Калуга, набережная Яченского водохранилища, по проекту заявителя ООО «Международный парк развлечений и туризма» </w:t>
      </w:r>
      <w:r w:rsidRPr="00E80411">
        <w:rPr>
          <w:rFonts w:ascii="Times New Roman" w:hAnsi="Times New Roman" w:cs="Times New Roman"/>
          <w:sz w:val="24"/>
          <w:szCs w:val="24"/>
        </w:rPr>
        <w:t>в размере 11836,109 тыс. руб. (без учета НДС).</w:t>
      </w:r>
    </w:p>
    <w:p w:rsidR="00E80411" w:rsidRPr="00E80411" w:rsidRDefault="00E80411" w:rsidP="00E8041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411" w:rsidRPr="00E80411" w:rsidRDefault="00E80411" w:rsidP="00E80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411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</w:t>
      </w:r>
      <w:r w:rsidR="005D114B" w:rsidRPr="00E80411">
        <w:rPr>
          <w:rFonts w:ascii="Times New Roman" w:hAnsi="Times New Roman" w:cs="Times New Roman"/>
          <w:b/>
          <w:sz w:val="24"/>
          <w:szCs w:val="24"/>
        </w:rPr>
        <w:t xml:space="preserve">запиской </w:t>
      </w:r>
      <w:r w:rsidR="005D114B"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от </w:t>
      </w:r>
      <w:r w:rsidRPr="00E80411">
        <w:rPr>
          <w:rFonts w:ascii="Times New Roman" w:hAnsi="Times New Roman" w:cs="Times New Roman"/>
          <w:b/>
          <w:sz w:val="24"/>
          <w:szCs w:val="24"/>
        </w:rPr>
        <w:t>01.08.2019</w:t>
      </w:r>
      <w:r w:rsidR="005D1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411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AB4C25" w:rsidRDefault="00AB4C25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411" w:rsidRDefault="00E80411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4B" w:rsidRPr="00463E6B" w:rsidRDefault="005D114B" w:rsidP="005D1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337D1">
        <w:rPr>
          <w:rFonts w:ascii="Times New Roman" w:hAnsi="Times New Roman" w:cs="Times New Roman"/>
          <w:b/>
          <w:sz w:val="24"/>
          <w:szCs w:val="24"/>
        </w:rPr>
        <w:t>О</w:t>
      </w:r>
      <w:r w:rsidR="003337D1" w:rsidRPr="003337D1">
        <w:rPr>
          <w:rFonts w:ascii="Times New Roman" w:hAnsi="Times New Roman" w:cs="Times New Roman"/>
          <w:b/>
          <w:sz w:val="24"/>
          <w:szCs w:val="24"/>
        </w:rPr>
        <w:t>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«Многоквартирный жилой дом 9 этажей», расположенного по адресу: г. Калуга, в районе ул. Грабцевское шоссе д. 3,5, пер. Баррикад д. 31 по проекту заявителя ООО «Специализированный застройщик «Перспектива»</w:t>
      </w:r>
      <w:r w:rsidR="003337D1">
        <w:rPr>
          <w:rFonts w:ascii="Times New Roman" w:hAnsi="Times New Roman" w:cs="Times New Roman"/>
          <w:b/>
          <w:sz w:val="24"/>
          <w:szCs w:val="24"/>
        </w:rPr>
        <w:t>.</w:t>
      </w:r>
    </w:p>
    <w:p w:rsidR="005D114B" w:rsidRPr="002C7220" w:rsidRDefault="005D114B" w:rsidP="005D114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5D114B" w:rsidRPr="002C7220" w:rsidRDefault="005D114B" w:rsidP="005D114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0D7919">
        <w:rPr>
          <w:rFonts w:ascii="Times New Roman" w:hAnsi="Times New Roman" w:cs="Times New Roman"/>
          <w:b/>
          <w:sz w:val="24"/>
          <w:szCs w:val="24"/>
        </w:rPr>
        <w:t xml:space="preserve">О. А. </w:t>
      </w:r>
      <w:r>
        <w:rPr>
          <w:rFonts w:ascii="Times New Roman" w:hAnsi="Times New Roman" w:cs="Times New Roman"/>
          <w:b/>
          <w:sz w:val="24"/>
          <w:szCs w:val="24"/>
        </w:rPr>
        <w:t>Викторова.</w:t>
      </w:r>
    </w:p>
    <w:p w:rsidR="00E80411" w:rsidRDefault="00E80411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7D1" w:rsidRPr="003337D1" w:rsidRDefault="003337D1" w:rsidP="007424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7D1">
        <w:rPr>
          <w:rFonts w:ascii="Times New Roman" w:hAnsi="Times New Roman" w:cs="Times New Roman"/>
          <w:color w:val="000000"/>
          <w:sz w:val="24"/>
          <w:szCs w:val="24"/>
        </w:rPr>
        <w:t xml:space="preserve">Прошу снять вопрос </w:t>
      </w:r>
      <w:r w:rsidR="0074240E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3337D1">
        <w:rPr>
          <w:rFonts w:ascii="Times New Roman" w:hAnsi="Times New Roman" w:cs="Times New Roman"/>
          <w:color w:val="000000"/>
          <w:sz w:val="24"/>
          <w:szCs w:val="24"/>
        </w:rPr>
        <w:t xml:space="preserve">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</w:t>
      </w:r>
      <w:r w:rsidRPr="003337D1">
        <w:rPr>
          <w:rFonts w:ascii="Times New Roman" w:hAnsi="Times New Roman" w:cs="Times New Roman"/>
          <w:sz w:val="24"/>
          <w:szCs w:val="24"/>
        </w:rPr>
        <w:t>«Многоквартирный жилой дом 9 этажей», расположенного по адресу: г. Калуга, в районе ул. Грабцевское шоссе</w:t>
      </w:r>
      <w:r w:rsidR="0074240E">
        <w:rPr>
          <w:rFonts w:ascii="Times New Roman" w:hAnsi="Times New Roman" w:cs="Times New Roman"/>
          <w:sz w:val="24"/>
          <w:szCs w:val="24"/>
        </w:rPr>
        <w:t xml:space="preserve">, </w:t>
      </w:r>
      <w:r w:rsidRPr="003337D1">
        <w:rPr>
          <w:rFonts w:ascii="Times New Roman" w:hAnsi="Times New Roman" w:cs="Times New Roman"/>
          <w:sz w:val="24"/>
          <w:szCs w:val="24"/>
        </w:rPr>
        <w:t xml:space="preserve">д. 3,5, </w:t>
      </w:r>
      <w:r w:rsidR="0074240E">
        <w:rPr>
          <w:rFonts w:ascii="Times New Roman" w:hAnsi="Times New Roman" w:cs="Times New Roman"/>
          <w:sz w:val="24"/>
          <w:szCs w:val="24"/>
        </w:rPr>
        <w:br/>
      </w:r>
      <w:r w:rsidRPr="003337D1">
        <w:rPr>
          <w:rFonts w:ascii="Times New Roman" w:hAnsi="Times New Roman" w:cs="Times New Roman"/>
          <w:sz w:val="24"/>
          <w:szCs w:val="24"/>
        </w:rPr>
        <w:t>пер. Баррикад</w:t>
      </w:r>
      <w:r w:rsidR="0074240E">
        <w:rPr>
          <w:rFonts w:ascii="Times New Roman" w:hAnsi="Times New Roman" w:cs="Times New Roman"/>
          <w:sz w:val="24"/>
          <w:szCs w:val="24"/>
        </w:rPr>
        <w:t xml:space="preserve">, </w:t>
      </w:r>
      <w:r w:rsidRPr="003337D1">
        <w:rPr>
          <w:rFonts w:ascii="Times New Roman" w:hAnsi="Times New Roman" w:cs="Times New Roman"/>
          <w:sz w:val="24"/>
          <w:szCs w:val="24"/>
        </w:rPr>
        <w:t>д.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7D1">
        <w:rPr>
          <w:rFonts w:ascii="Times New Roman" w:hAnsi="Times New Roman" w:cs="Times New Roman"/>
          <w:sz w:val="24"/>
          <w:szCs w:val="24"/>
        </w:rPr>
        <w:t>по проекту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7D1">
        <w:rPr>
          <w:rFonts w:ascii="Times New Roman" w:hAnsi="Times New Roman" w:cs="Times New Roman"/>
          <w:sz w:val="24"/>
          <w:szCs w:val="24"/>
        </w:rPr>
        <w:t>ООО «Специализированный застройщик «Перспектива»</w:t>
      </w:r>
      <w:r w:rsidRPr="003337D1">
        <w:rPr>
          <w:rFonts w:ascii="Times New Roman" w:hAnsi="Times New Roman" w:cs="Times New Roman"/>
          <w:color w:val="000000"/>
          <w:sz w:val="24"/>
          <w:szCs w:val="24"/>
        </w:rPr>
        <w:t>, с рассмотрения заседания комиссии 05.08.2019,</w:t>
      </w:r>
      <w:r w:rsidRPr="003337D1">
        <w:rPr>
          <w:rFonts w:ascii="Times New Roman" w:hAnsi="Times New Roman" w:cs="Times New Roman"/>
          <w:sz w:val="24"/>
          <w:szCs w:val="24"/>
        </w:rPr>
        <w:t xml:space="preserve"> </w:t>
      </w:r>
      <w:r w:rsidRPr="003337D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связи с отзывом заявки ГП КО </w:t>
      </w:r>
      <w:r w:rsidRPr="003337D1">
        <w:rPr>
          <w:rFonts w:ascii="Times New Roman" w:hAnsi="Times New Roman" w:cs="Times New Roman"/>
          <w:color w:val="000000"/>
          <w:sz w:val="24"/>
          <w:szCs w:val="24"/>
        </w:rPr>
        <w:t xml:space="preserve">«Калугаоблводоканал» </w:t>
      </w:r>
      <w:r w:rsidRPr="003337D1">
        <w:rPr>
          <w:rFonts w:ascii="Times New Roman" w:hAnsi="Times New Roman" w:cs="Times New Roman"/>
          <w:sz w:val="24"/>
          <w:szCs w:val="24"/>
        </w:rPr>
        <w:t>от 31.07.2019 № 03/2932-19</w:t>
      </w:r>
      <w:r w:rsidRPr="003337D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</w:p>
    <w:p w:rsidR="00E80411" w:rsidRDefault="00E80411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7D1" w:rsidRPr="00121E39" w:rsidRDefault="003337D1" w:rsidP="003337D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E39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74240E" w:rsidRPr="0074240E" w:rsidRDefault="0074240E" w:rsidP="0074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с рассмотрения вопрос «</w:t>
      </w:r>
      <w:r w:rsidRPr="0074240E">
        <w:rPr>
          <w:rFonts w:ascii="Times New Roman" w:hAnsi="Times New Roman" w:cs="Times New Roman"/>
          <w:sz w:val="24"/>
          <w:szCs w:val="24"/>
        </w:rPr>
        <w:t xml:space="preserve">Об установлении в индивидуальном порядке размера платы за подключение (технологическое присоединение) к централизованным системам </w:t>
      </w:r>
      <w:r w:rsidRPr="0074240E">
        <w:rPr>
          <w:rFonts w:ascii="Times New Roman" w:hAnsi="Times New Roman" w:cs="Times New Roman"/>
          <w:sz w:val="24"/>
          <w:szCs w:val="24"/>
        </w:rPr>
        <w:lastRenderedPageBreak/>
        <w:t>холодного водоснабжения и водоотведения государственного предприятия Калужской области «Калугаоблводоканал» объекта капитального строительства: «Многоквартирный жилой дом 9 этажей», расположенного по адресу: г. Калуга, в районе ул. Грабцевское шоссе, д. 3,5, пер. Баррикад, д. 31 по проекту заявителя ООО «Специализированный застройщик «Перспектива»,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B4C25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05.08.2019.</w:t>
      </w:r>
    </w:p>
    <w:p w:rsidR="0074240E" w:rsidRDefault="0074240E" w:rsidP="00333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7D1" w:rsidRPr="00E80411" w:rsidRDefault="003337D1" w:rsidP="00333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411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4240E">
        <w:rPr>
          <w:rFonts w:ascii="Times New Roman" w:hAnsi="Times New Roman" w:cs="Times New Roman"/>
          <w:b/>
          <w:sz w:val="24"/>
          <w:szCs w:val="24"/>
        </w:rPr>
        <w:t>31</w:t>
      </w:r>
      <w:r w:rsidRPr="00E80411">
        <w:rPr>
          <w:rFonts w:ascii="Times New Roman" w:hAnsi="Times New Roman" w:cs="Times New Roman"/>
          <w:b/>
          <w:sz w:val="24"/>
          <w:szCs w:val="24"/>
        </w:rPr>
        <w:t>.0</w:t>
      </w:r>
      <w:r w:rsidR="0074240E">
        <w:rPr>
          <w:rFonts w:ascii="Times New Roman" w:hAnsi="Times New Roman" w:cs="Times New Roman"/>
          <w:b/>
          <w:sz w:val="24"/>
          <w:szCs w:val="24"/>
        </w:rPr>
        <w:t>7</w:t>
      </w:r>
      <w:r w:rsidRPr="00E80411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40E">
        <w:rPr>
          <w:rFonts w:ascii="Times New Roman" w:hAnsi="Times New Roman" w:cs="Times New Roman"/>
          <w:b/>
          <w:sz w:val="24"/>
          <w:szCs w:val="24"/>
        </w:rPr>
        <w:br/>
      </w:r>
      <w:r w:rsidRPr="00E8041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4240E">
        <w:rPr>
          <w:rFonts w:ascii="Times New Roman" w:hAnsi="Times New Roman" w:cs="Times New Roman"/>
          <w:b/>
          <w:sz w:val="24"/>
          <w:szCs w:val="24"/>
        </w:rPr>
        <w:t xml:space="preserve">протокольной </w:t>
      </w:r>
      <w:r w:rsidRPr="00E80411">
        <w:rPr>
          <w:rFonts w:ascii="Times New Roman" w:hAnsi="Times New Roman" w:cs="Times New Roman"/>
          <w:b/>
          <w:sz w:val="24"/>
          <w:szCs w:val="24"/>
        </w:rPr>
        <w:t>форме, голосовали единогласно.</w:t>
      </w:r>
    </w:p>
    <w:p w:rsidR="003337D1" w:rsidRDefault="003337D1" w:rsidP="003337D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411" w:rsidRDefault="00E80411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411" w:rsidRDefault="00E80411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__________________________ О.А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Викторова</w:t>
      </w:r>
    </w:p>
    <w:p w:rsidR="008A020C" w:rsidRDefault="008A020C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Default="008A020C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2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</w:p>
    <w:p w:rsidR="00192AA1" w:rsidRDefault="00192AA1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Pr="00022B40" w:rsidRDefault="008A020C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Кузина</w:t>
      </w:r>
    </w:p>
    <w:p w:rsidR="00022B40" w:rsidRP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022B40" w:rsidRP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505336" w:rsidRDefault="00505336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AA1" w:rsidRDefault="00505336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B27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 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И. Михалев</w:t>
      </w:r>
    </w:p>
    <w:p w:rsidR="008A020C" w:rsidRDefault="008A020C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165" w:rsidRPr="00022B40" w:rsidRDefault="00894165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7" w:rsidRDefault="008160F7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7" w:rsidRDefault="008160F7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5E3607" w:rsidRDefault="00022B40" w:rsidP="00CC71C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</w:t>
      </w:r>
      <w:r w:rsidR="005E2BC2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AB4C2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3F574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B4C2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C4F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B4C25">
        <w:rPr>
          <w:rFonts w:ascii="Times New Roman" w:eastAsia="Times New Roman" w:hAnsi="Times New Roman" w:cs="Times New Roman"/>
          <w:b/>
          <w:sz w:val="24"/>
          <w:szCs w:val="24"/>
        </w:rPr>
        <w:t>Егорова</w:t>
      </w:r>
      <w:r w:rsidR="00351784"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51784" w:rsidRPr="005E3607" w:rsidSect="00461413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DFC" w:rsidRDefault="009A0DFC" w:rsidP="00385DEB">
      <w:pPr>
        <w:spacing w:after="0" w:line="240" w:lineRule="auto"/>
      </w:pPr>
      <w:r>
        <w:separator/>
      </w:r>
    </w:p>
  </w:endnote>
  <w:endnote w:type="continuationSeparator" w:id="0">
    <w:p w:rsidR="009A0DFC" w:rsidRDefault="009A0DFC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EndPr/>
    <w:sdtContent>
      <w:p w:rsidR="00167D02" w:rsidRPr="009879F2" w:rsidRDefault="00167D02">
        <w:pPr>
          <w:pStyle w:val="a3"/>
          <w:jc w:val="center"/>
        </w:pPr>
        <w:r w:rsidRPr="009879F2">
          <w:fldChar w:fldCharType="begin"/>
        </w:r>
        <w:r w:rsidRPr="009879F2">
          <w:instrText>PAGE   \* MERGEFORMAT</w:instrText>
        </w:r>
        <w:r w:rsidRPr="009879F2">
          <w:fldChar w:fldCharType="separate"/>
        </w:r>
        <w:r>
          <w:rPr>
            <w:noProof/>
          </w:rPr>
          <w:t>1</w:t>
        </w:r>
        <w:r w:rsidRPr="009879F2">
          <w:fldChar w:fldCharType="end"/>
        </w:r>
      </w:p>
    </w:sdtContent>
  </w:sdt>
  <w:p w:rsidR="00167D02" w:rsidRDefault="00167D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D02" w:rsidRDefault="00167D02">
    <w:pPr>
      <w:pStyle w:val="a3"/>
    </w:pPr>
  </w:p>
  <w:p w:rsidR="00167D02" w:rsidRDefault="00167D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DFC" w:rsidRDefault="009A0DFC" w:rsidP="00385DEB">
      <w:pPr>
        <w:spacing w:after="0" w:line="240" w:lineRule="auto"/>
      </w:pPr>
      <w:r>
        <w:separator/>
      </w:r>
    </w:p>
  </w:footnote>
  <w:footnote w:type="continuationSeparator" w:id="0">
    <w:p w:rsidR="009A0DFC" w:rsidRDefault="009A0DFC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103A"/>
    <w:multiLevelType w:val="hybridMultilevel"/>
    <w:tmpl w:val="BB6A8174"/>
    <w:lvl w:ilvl="0" w:tplc="E320005C">
      <w:start w:val="1"/>
      <w:numFmt w:val="decimal"/>
      <w:lvlText w:val="%1."/>
      <w:lvlJc w:val="left"/>
      <w:pPr>
        <w:ind w:left="60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" w15:restartNumberingAfterBreak="0">
    <w:nsid w:val="1C7909F8"/>
    <w:multiLevelType w:val="hybridMultilevel"/>
    <w:tmpl w:val="0A0A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63BD9"/>
    <w:multiLevelType w:val="hybridMultilevel"/>
    <w:tmpl w:val="C292DCD0"/>
    <w:lvl w:ilvl="0" w:tplc="4ED017F0">
      <w:start w:val="1"/>
      <w:numFmt w:val="upperRoman"/>
      <w:lvlText w:val="%1."/>
      <w:lvlJc w:val="left"/>
      <w:pPr>
        <w:ind w:left="1428" w:hanging="88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55633F"/>
    <w:multiLevelType w:val="hybridMultilevel"/>
    <w:tmpl w:val="570840C0"/>
    <w:lvl w:ilvl="0" w:tplc="D80A7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C843C0"/>
    <w:multiLevelType w:val="hybridMultilevel"/>
    <w:tmpl w:val="2FF88F3A"/>
    <w:lvl w:ilvl="0" w:tplc="12A0E69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BD864C3"/>
    <w:multiLevelType w:val="hybridMultilevel"/>
    <w:tmpl w:val="0A220450"/>
    <w:lvl w:ilvl="0" w:tplc="F83A7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AC47B6"/>
    <w:multiLevelType w:val="hybridMultilevel"/>
    <w:tmpl w:val="BB6A8174"/>
    <w:lvl w:ilvl="0" w:tplc="E320005C">
      <w:start w:val="1"/>
      <w:numFmt w:val="decimal"/>
      <w:lvlText w:val="%1."/>
      <w:lvlJc w:val="left"/>
      <w:pPr>
        <w:ind w:left="60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7" w15:restartNumberingAfterBreak="0">
    <w:nsid w:val="626807AF"/>
    <w:multiLevelType w:val="hybridMultilevel"/>
    <w:tmpl w:val="76065F30"/>
    <w:lvl w:ilvl="0" w:tplc="9D80D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C5664B2"/>
    <w:multiLevelType w:val="hybridMultilevel"/>
    <w:tmpl w:val="F252FE24"/>
    <w:lvl w:ilvl="0" w:tplc="055C15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163"/>
    <w:rsid w:val="00022B40"/>
    <w:rsid w:val="00025F37"/>
    <w:rsid w:val="000260E3"/>
    <w:rsid w:val="000266DC"/>
    <w:rsid w:val="0002688D"/>
    <w:rsid w:val="00030BAC"/>
    <w:rsid w:val="00030BBD"/>
    <w:rsid w:val="00031F7A"/>
    <w:rsid w:val="0003503B"/>
    <w:rsid w:val="000358B9"/>
    <w:rsid w:val="000406A2"/>
    <w:rsid w:val="00041E6D"/>
    <w:rsid w:val="000420DD"/>
    <w:rsid w:val="00042970"/>
    <w:rsid w:val="00042F3F"/>
    <w:rsid w:val="00043641"/>
    <w:rsid w:val="00043805"/>
    <w:rsid w:val="00043CEB"/>
    <w:rsid w:val="00043CF6"/>
    <w:rsid w:val="000447E7"/>
    <w:rsid w:val="00047125"/>
    <w:rsid w:val="00047DDC"/>
    <w:rsid w:val="00050D24"/>
    <w:rsid w:val="00050E50"/>
    <w:rsid w:val="0005244A"/>
    <w:rsid w:val="00053DD2"/>
    <w:rsid w:val="00053FB4"/>
    <w:rsid w:val="00055649"/>
    <w:rsid w:val="00056168"/>
    <w:rsid w:val="00057B36"/>
    <w:rsid w:val="00061884"/>
    <w:rsid w:val="00061FCF"/>
    <w:rsid w:val="00062486"/>
    <w:rsid w:val="00063709"/>
    <w:rsid w:val="000679E1"/>
    <w:rsid w:val="0007173D"/>
    <w:rsid w:val="00074C9A"/>
    <w:rsid w:val="00075033"/>
    <w:rsid w:val="000762DB"/>
    <w:rsid w:val="00076C5B"/>
    <w:rsid w:val="00080FB2"/>
    <w:rsid w:val="00083AAF"/>
    <w:rsid w:val="0008403C"/>
    <w:rsid w:val="0008416D"/>
    <w:rsid w:val="0009089E"/>
    <w:rsid w:val="00091007"/>
    <w:rsid w:val="00091244"/>
    <w:rsid w:val="000939BD"/>
    <w:rsid w:val="00094C55"/>
    <w:rsid w:val="000957C8"/>
    <w:rsid w:val="00096E42"/>
    <w:rsid w:val="000A0AD1"/>
    <w:rsid w:val="000A13EC"/>
    <w:rsid w:val="000A16C1"/>
    <w:rsid w:val="000A17B6"/>
    <w:rsid w:val="000A1944"/>
    <w:rsid w:val="000A4258"/>
    <w:rsid w:val="000A5443"/>
    <w:rsid w:val="000A5EDE"/>
    <w:rsid w:val="000A66E3"/>
    <w:rsid w:val="000A7326"/>
    <w:rsid w:val="000A7DAF"/>
    <w:rsid w:val="000B0D1F"/>
    <w:rsid w:val="000B1E57"/>
    <w:rsid w:val="000B3973"/>
    <w:rsid w:val="000B39BC"/>
    <w:rsid w:val="000B3C52"/>
    <w:rsid w:val="000B4720"/>
    <w:rsid w:val="000B5A02"/>
    <w:rsid w:val="000B5EEA"/>
    <w:rsid w:val="000B6F12"/>
    <w:rsid w:val="000C484B"/>
    <w:rsid w:val="000C5D5A"/>
    <w:rsid w:val="000C78D3"/>
    <w:rsid w:val="000D181D"/>
    <w:rsid w:val="000D3656"/>
    <w:rsid w:val="000D3ECA"/>
    <w:rsid w:val="000D5AD7"/>
    <w:rsid w:val="000D6FF5"/>
    <w:rsid w:val="000D7919"/>
    <w:rsid w:val="000E0121"/>
    <w:rsid w:val="000E1687"/>
    <w:rsid w:val="000E265D"/>
    <w:rsid w:val="000E5BF2"/>
    <w:rsid w:val="000E7EB7"/>
    <w:rsid w:val="000F2036"/>
    <w:rsid w:val="000F4633"/>
    <w:rsid w:val="000F7F9E"/>
    <w:rsid w:val="00100CB5"/>
    <w:rsid w:val="00103E24"/>
    <w:rsid w:val="0010642C"/>
    <w:rsid w:val="00106830"/>
    <w:rsid w:val="00107D37"/>
    <w:rsid w:val="00110E4D"/>
    <w:rsid w:val="00113545"/>
    <w:rsid w:val="00114637"/>
    <w:rsid w:val="00120392"/>
    <w:rsid w:val="00120A79"/>
    <w:rsid w:val="00120EE1"/>
    <w:rsid w:val="001211E4"/>
    <w:rsid w:val="00121E39"/>
    <w:rsid w:val="00122C9C"/>
    <w:rsid w:val="00123CD6"/>
    <w:rsid w:val="00125DA9"/>
    <w:rsid w:val="001262A0"/>
    <w:rsid w:val="00126E3A"/>
    <w:rsid w:val="00127161"/>
    <w:rsid w:val="001276C1"/>
    <w:rsid w:val="00132A2D"/>
    <w:rsid w:val="00133610"/>
    <w:rsid w:val="001338B6"/>
    <w:rsid w:val="001353E3"/>
    <w:rsid w:val="00135537"/>
    <w:rsid w:val="00136C1A"/>
    <w:rsid w:val="00136CA2"/>
    <w:rsid w:val="00136EA0"/>
    <w:rsid w:val="001375EB"/>
    <w:rsid w:val="00141E33"/>
    <w:rsid w:val="001435F5"/>
    <w:rsid w:val="001452EF"/>
    <w:rsid w:val="00145BA5"/>
    <w:rsid w:val="001469C4"/>
    <w:rsid w:val="00146DEA"/>
    <w:rsid w:val="001471B3"/>
    <w:rsid w:val="0014728D"/>
    <w:rsid w:val="001502F3"/>
    <w:rsid w:val="0015156A"/>
    <w:rsid w:val="0015213D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67D02"/>
    <w:rsid w:val="00170098"/>
    <w:rsid w:val="00170191"/>
    <w:rsid w:val="00170616"/>
    <w:rsid w:val="00171733"/>
    <w:rsid w:val="001721DF"/>
    <w:rsid w:val="001730F6"/>
    <w:rsid w:val="0017369F"/>
    <w:rsid w:val="00173DB3"/>
    <w:rsid w:val="00176578"/>
    <w:rsid w:val="00176ABE"/>
    <w:rsid w:val="00176FD0"/>
    <w:rsid w:val="00180025"/>
    <w:rsid w:val="00181122"/>
    <w:rsid w:val="00181ACB"/>
    <w:rsid w:val="00182D9D"/>
    <w:rsid w:val="00184AB4"/>
    <w:rsid w:val="00184D59"/>
    <w:rsid w:val="001907A6"/>
    <w:rsid w:val="001918CC"/>
    <w:rsid w:val="00192AA1"/>
    <w:rsid w:val="0019463C"/>
    <w:rsid w:val="00195015"/>
    <w:rsid w:val="00195F4C"/>
    <w:rsid w:val="00196C4F"/>
    <w:rsid w:val="001A130A"/>
    <w:rsid w:val="001A2830"/>
    <w:rsid w:val="001A2CBE"/>
    <w:rsid w:val="001A2E66"/>
    <w:rsid w:val="001A34D1"/>
    <w:rsid w:val="001A4A55"/>
    <w:rsid w:val="001B2290"/>
    <w:rsid w:val="001B440D"/>
    <w:rsid w:val="001B5D23"/>
    <w:rsid w:val="001B651F"/>
    <w:rsid w:val="001B6D11"/>
    <w:rsid w:val="001C0419"/>
    <w:rsid w:val="001C1C51"/>
    <w:rsid w:val="001C381A"/>
    <w:rsid w:val="001C3BDD"/>
    <w:rsid w:val="001C43A1"/>
    <w:rsid w:val="001C4CD4"/>
    <w:rsid w:val="001C618B"/>
    <w:rsid w:val="001C6A5B"/>
    <w:rsid w:val="001C6BAD"/>
    <w:rsid w:val="001D34B5"/>
    <w:rsid w:val="001D5037"/>
    <w:rsid w:val="001D5061"/>
    <w:rsid w:val="001D5814"/>
    <w:rsid w:val="001E0F44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3EF"/>
    <w:rsid w:val="00200FF0"/>
    <w:rsid w:val="00205DC4"/>
    <w:rsid w:val="002069C9"/>
    <w:rsid w:val="002073FF"/>
    <w:rsid w:val="00207783"/>
    <w:rsid w:val="00210438"/>
    <w:rsid w:val="00210683"/>
    <w:rsid w:val="002109D5"/>
    <w:rsid w:val="00215508"/>
    <w:rsid w:val="0021607B"/>
    <w:rsid w:val="00217A37"/>
    <w:rsid w:val="00220FA2"/>
    <w:rsid w:val="002263A6"/>
    <w:rsid w:val="002267D9"/>
    <w:rsid w:val="002274D1"/>
    <w:rsid w:val="00231CCB"/>
    <w:rsid w:val="00234DBB"/>
    <w:rsid w:val="0023567C"/>
    <w:rsid w:val="00236B46"/>
    <w:rsid w:val="00236CC0"/>
    <w:rsid w:val="00237824"/>
    <w:rsid w:val="00240093"/>
    <w:rsid w:val="0024054E"/>
    <w:rsid w:val="002406BD"/>
    <w:rsid w:val="002415EE"/>
    <w:rsid w:val="00242AB3"/>
    <w:rsid w:val="0024485F"/>
    <w:rsid w:val="0024535E"/>
    <w:rsid w:val="002476C1"/>
    <w:rsid w:val="00253CA5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9AF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8D0"/>
    <w:rsid w:val="002853F8"/>
    <w:rsid w:val="00285954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AF4"/>
    <w:rsid w:val="002B0CA6"/>
    <w:rsid w:val="002B0F98"/>
    <w:rsid w:val="002B29D7"/>
    <w:rsid w:val="002B42F9"/>
    <w:rsid w:val="002B4B8A"/>
    <w:rsid w:val="002B502E"/>
    <w:rsid w:val="002B6709"/>
    <w:rsid w:val="002B6CC3"/>
    <w:rsid w:val="002B78E7"/>
    <w:rsid w:val="002B7B48"/>
    <w:rsid w:val="002C1C7C"/>
    <w:rsid w:val="002C4B7D"/>
    <w:rsid w:val="002C6023"/>
    <w:rsid w:val="002C69EC"/>
    <w:rsid w:val="002C7220"/>
    <w:rsid w:val="002C7F00"/>
    <w:rsid w:val="002C7FB7"/>
    <w:rsid w:val="002D026F"/>
    <w:rsid w:val="002D1845"/>
    <w:rsid w:val="002D2363"/>
    <w:rsid w:val="002D3CBC"/>
    <w:rsid w:val="002D3D8D"/>
    <w:rsid w:val="002D5EC9"/>
    <w:rsid w:val="002E23D5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2939"/>
    <w:rsid w:val="00304775"/>
    <w:rsid w:val="00305604"/>
    <w:rsid w:val="00306C31"/>
    <w:rsid w:val="00310C04"/>
    <w:rsid w:val="00312AE2"/>
    <w:rsid w:val="003167F3"/>
    <w:rsid w:val="00316D14"/>
    <w:rsid w:val="003212E2"/>
    <w:rsid w:val="003214AF"/>
    <w:rsid w:val="00322337"/>
    <w:rsid w:val="003258B0"/>
    <w:rsid w:val="00327F99"/>
    <w:rsid w:val="00332D2C"/>
    <w:rsid w:val="0033317F"/>
    <w:rsid w:val="003337D1"/>
    <w:rsid w:val="00334811"/>
    <w:rsid w:val="00336C18"/>
    <w:rsid w:val="00336F1F"/>
    <w:rsid w:val="003374D0"/>
    <w:rsid w:val="003410CA"/>
    <w:rsid w:val="00341D33"/>
    <w:rsid w:val="00341EB2"/>
    <w:rsid w:val="0035146A"/>
    <w:rsid w:val="00351784"/>
    <w:rsid w:val="0035186A"/>
    <w:rsid w:val="00352738"/>
    <w:rsid w:val="0035364F"/>
    <w:rsid w:val="00353DF6"/>
    <w:rsid w:val="0035542C"/>
    <w:rsid w:val="00355552"/>
    <w:rsid w:val="003558FF"/>
    <w:rsid w:val="00357A64"/>
    <w:rsid w:val="00360535"/>
    <w:rsid w:val="00360EED"/>
    <w:rsid w:val="00361ABC"/>
    <w:rsid w:val="00362504"/>
    <w:rsid w:val="00363483"/>
    <w:rsid w:val="00365F51"/>
    <w:rsid w:val="00366DE4"/>
    <w:rsid w:val="003671A5"/>
    <w:rsid w:val="00371D4D"/>
    <w:rsid w:val="00373224"/>
    <w:rsid w:val="00373683"/>
    <w:rsid w:val="003737EA"/>
    <w:rsid w:val="00374360"/>
    <w:rsid w:val="00374557"/>
    <w:rsid w:val="003778DE"/>
    <w:rsid w:val="00377DE0"/>
    <w:rsid w:val="00382C1C"/>
    <w:rsid w:val="00382F9C"/>
    <w:rsid w:val="00382FDB"/>
    <w:rsid w:val="00383CF8"/>
    <w:rsid w:val="00383E43"/>
    <w:rsid w:val="00384201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474B"/>
    <w:rsid w:val="003B7F14"/>
    <w:rsid w:val="003C0909"/>
    <w:rsid w:val="003C4F08"/>
    <w:rsid w:val="003C533E"/>
    <w:rsid w:val="003C6452"/>
    <w:rsid w:val="003C678F"/>
    <w:rsid w:val="003C6CC3"/>
    <w:rsid w:val="003C7BAF"/>
    <w:rsid w:val="003C7BBB"/>
    <w:rsid w:val="003C7D6D"/>
    <w:rsid w:val="003D0D84"/>
    <w:rsid w:val="003D13AB"/>
    <w:rsid w:val="003D212A"/>
    <w:rsid w:val="003D2D66"/>
    <w:rsid w:val="003D324B"/>
    <w:rsid w:val="003D3FD1"/>
    <w:rsid w:val="003D4BB9"/>
    <w:rsid w:val="003D6188"/>
    <w:rsid w:val="003E0070"/>
    <w:rsid w:val="003E0489"/>
    <w:rsid w:val="003E07F4"/>
    <w:rsid w:val="003E4A6E"/>
    <w:rsid w:val="003E4D0A"/>
    <w:rsid w:val="003E50B5"/>
    <w:rsid w:val="003F47F2"/>
    <w:rsid w:val="003F4F39"/>
    <w:rsid w:val="003F574F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15A53"/>
    <w:rsid w:val="00422F6A"/>
    <w:rsid w:val="00424048"/>
    <w:rsid w:val="00424A35"/>
    <w:rsid w:val="00427628"/>
    <w:rsid w:val="00427642"/>
    <w:rsid w:val="00427C6C"/>
    <w:rsid w:val="0043024A"/>
    <w:rsid w:val="00434CC1"/>
    <w:rsid w:val="00435877"/>
    <w:rsid w:val="00437A67"/>
    <w:rsid w:val="0044000F"/>
    <w:rsid w:val="0044003C"/>
    <w:rsid w:val="004404AC"/>
    <w:rsid w:val="00440CEC"/>
    <w:rsid w:val="00441B0E"/>
    <w:rsid w:val="00442FB8"/>
    <w:rsid w:val="004464D7"/>
    <w:rsid w:val="00446D72"/>
    <w:rsid w:val="0045327C"/>
    <w:rsid w:val="00453337"/>
    <w:rsid w:val="004535C3"/>
    <w:rsid w:val="004536B2"/>
    <w:rsid w:val="00454DC6"/>
    <w:rsid w:val="004550F5"/>
    <w:rsid w:val="004561B3"/>
    <w:rsid w:val="00456DCE"/>
    <w:rsid w:val="004576A4"/>
    <w:rsid w:val="0046123A"/>
    <w:rsid w:val="00461413"/>
    <w:rsid w:val="0046290A"/>
    <w:rsid w:val="00462F71"/>
    <w:rsid w:val="00463B84"/>
    <w:rsid w:val="00463E6B"/>
    <w:rsid w:val="004647C8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0E70"/>
    <w:rsid w:val="004B1117"/>
    <w:rsid w:val="004B426D"/>
    <w:rsid w:val="004B5871"/>
    <w:rsid w:val="004C0BFE"/>
    <w:rsid w:val="004C0E7F"/>
    <w:rsid w:val="004C33C2"/>
    <w:rsid w:val="004C46AD"/>
    <w:rsid w:val="004C5F45"/>
    <w:rsid w:val="004C5FE2"/>
    <w:rsid w:val="004C64A5"/>
    <w:rsid w:val="004C6EC6"/>
    <w:rsid w:val="004C7205"/>
    <w:rsid w:val="004D1729"/>
    <w:rsid w:val="004D19F2"/>
    <w:rsid w:val="004D1C51"/>
    <w:rsid w:val="004D2E49"/>
    <w:rsid w:val="004D3533"/>
    <w:rsid w:val="004E0A6A"/>
    <w:rsid w:val="004E0F4B"/>
    <w:rsid w:val="004E182C"/>
    <w:rsid w:val="004E1A2F"/>
    <w:rsid w:val="004E221D"/>
    <w:rsid w:val="004E2CAD"/>
    <w:rsid w:val="004E30B1"/>
    <w:rsid w:val="004E3597"/>
    <w:rsid w:val="004E413F"/>
    <w:rsid w:val="004E42DD"/>
    <w:rsid w:val="004E4AEF"/>
    <w:rsid w:val="004E4FE2"/>
    <w:rsid w:val="004E6B06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336"/>
    <w:rsid w:val="00505FBB"/>
    <w:rsid w:val="00507420"/>
    <w:rsid w:val="005126A9"/>
    <w:rsid w:val="00512F13"/>
    <w:rsid w:val="00513FC3"/>
    <w:rsid w:val="005200AD"/>
    <w:rsid w:val="0052128C"/>
    <w:rsid w:val="00524774"/>
    <w:rsid w:val="00524F68"/>
    <w:rsid w:val="005259C9"/>
    <w:rsid w:val="00525DEE"/>
    <w:rsid w:val="0052687C"/>
    <w:rsid w:val="0052731D"/>
    <w:rsid w:val="005321EE"/>
    <w:rsid w:val="00532E15"/>
    <w:rsid w:val="00534087"/>
    <w:rsid w:val="005342BC"/>
    <w:rsid w:val="0053474A"/>
    <w:rsid w:val="005348CD"/>
    <w:rsid w:val="0053536E"/>
    <w:rsid w:val="0053572C"/>
    <w:rsid w:val="00535A24"/>
    <w:rsid w:val="0053662F"/>
    <w:rsid w:val="00537B8C"/>
    <w:rsid w:val="005419EB"/>
    <w:rsid w:val="00543A7A"/>
    <w:rsid w:val="0054462E"/>
    <w:rsid w:val="00544D36"/>
    <w:rsid w:val="005474BA"/>
    <w:rsid w:val="00551AE7"/>
    <w:rsid w:val="00553C36"/>
    <w:rsid w:val="005555A8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655F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5342"/>
    <w:rsid w:val="00596630"/>
    <w:rsid w:val="005967E8"/>
    <w:rsid w:val="00597F28"/>
    <w:rsid w:val="005A0475"/>
    <w:rsid w:val="005A0BCD"/>
    <w:rsid w:val="005A34B2"/>
    <w:rsid w:val="005A4BA0"/>
    <w:rsid w:val="005A62E7"/>
    <w:rsid w:val="005B0ACC"/>
    <w:rsid w:val="005B0C2F"/>
    <w:rsid w:val="005B2CC1"/>
    <w:rsid w:val="005C00CE"/>
    <w:rsid w:val="005C16ED"/>
    <w:rsid w:val="005C1BFA"/>
    <w:rsid w:val="005C2297"/>
    <w:rsid w:val="005C22D0"/>
    <w:rsid w:val="005C49E2"/>
    <w:rsid w:val="005C4E7B"/>
    <w:rsid w:val="005C50A1"/>
    <w:rsid w:val="005C53BF"/>
    <w:rsid w:val="005C5869"/>
    <w:rsid w:val="005C64BA"/>
    <w:rsid w:val="005D0DAA"/>
    <w:rsid w:val="005D0E76"/>
    <w:rsid w:val="005D114B"/>
    <w:rsid w:val="005D1D95"/>
    <w:rsid w:val="005D1DC0"/>
    <w:rsid w:val="005D4B8A"/>
    <w:rsid w:val="005D4E6B"/>
    <w:rsid w:val="005D52A1"/>
    <w:rsid w:val="005D5D97"/>
    <w:rsid w:val="005D671A"/>
    <w:rsid w:val="005E08D3"/>
    <w:rsid w:val="005E1969"/>
    <w:rsid w:val="005E2BC2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600A00"/>
    <w:rsid w:val="00602DDA"/>
    <w:rsid w:val="0060337C"/>
    <w:rsid w:val="00604106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42AE"/>
    <w:rsid w:val="006342EE"/>
    <w:rsid w:val="00634FBA"/>
    <w:rsid w:val="006365DC"/>
    <w:rsid w:val="006371AB"/>
    <w:rsid w:val="00637422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5598"/>
    <w:rsid w:val="006567E0"/>
    <w:rsid w:val="00657B85"/>
    <w:rsid w:val="0066081A"/>
    <w:rsid w:val="00661C54"/>
    <w:rsid w:val="006640F6"/>
    <w:rsid w:val="00664F65"/>
    <w:rsid w:val="00666439"/>
    <w:rsid w:val="0066679C"/>
    <w:rsid w:val="006671DD"/>
    <w:rsid w:val="00670478"/>
    <w:rsid w:val="00671839"/>
    <w:rsid w:val="00672335"/>
    <w:rsid w:val="00672B0C"/>
    <w:rsid w:val="0067385A"/>
    <w:rsid w:val="00674478"/>
    <w:rsid w:val="00676896"/>
    <w:rsid w:val="006775EA"/>
    <w:rsid w:val="00683FB6"/>
    <w:rsid w:val="006840C8"/>
    <w:rsid w:val="00686237"/>
    <w:rsid w:val="00686921"/>
    <w:rsid w:val="00686BEE"/>
    <w:rsid w:val="00687FCA"/>
    <w:rsid w:val="00690064"/>
    <w:rsid w:val="00690663"/>
    <w:rsid w:val="00690C2C"/>
    <w:rsid w:val="00691CBF"/>
    <w:rsid w:val="00691F95"/>
    <w:rsid w:val="00695588"/>
    <w:rsid w:val="00695A94"/>
    <w:rsid w:val="00695D94"/>
    <w:rsid w:val="00696FC3"/>
    <w:rsid w:val="006978F3"/>
    <w:rsid w:val="006A1A82"/>
    <w:rsid w:val="006A3DD6"/>
    <w:rsid w:val="006A53E8"/>
    <w:rsid w:val="006A62BD"/>
    <w:rsid w:val="006A6B19"/>
    <w:rsid w:val="006A6F52"/>
    <w:rsid w:val="006A7A40"/>
    <w:rsid w:val="006B18F3"/>
    <w:rsid w:val="006B253E"/>
    <w:rsid w:val="006B470C"/>
    <w:rsid w:val="006B4B71"/>
    <w:rsid w:val="006C0AAB"/>
    <w:rsid w:val="006C7DFF"/>
    <w:rsid w:val="006D1209"/>
    <w:rsid w:val="006D1A5D"/>
    <w:rsid w:val="006D2539"/>
    <w:rsid w:val="006D3093"/>
    <w:rsid w:val="006D44C0"/>
    <w:rsid w:val="006D6E2C"/>
    <w:rsid w:val="006D6E9B"/>
    <w:rsid w:val="006D7F10"/>
    <w:rsid w:val="006E14D5"/>
    <w:rsid w:val="006E1A96"/>
    <w:rsid w:val="006E1D6E"/>
    <w:rsid w:val="006E28E6"/>
    <w:rsid w:val="006E4142"/>
    <w:rsid w:val="006E6250"/>
    <w:rsid w:val="006E7345"/>
    <w:rsid w:val="006E7BF3"/>
    <w:rsid w:val="006F0E0E"/>
    <w:rsid w:val="006F0FD2"/>
    <w:rsid w:val="006F1322"/>
    <w:rsid w:val="006F23CF"/>
    <w:rsid w:val="006F297C"/>
    <w:rsid w:val="006F5A03"/>
    <w:rsid w:val="006F63CA"/>
    <w:rsid w:val="00700D36"/>
    <w:rsid w:val="007014CB"/>
    <w:rsid w:val="007028A3"/>
    <w:rsid w:val="00703E35"/>
    <w:rsid w:val="0070420C"/>
    <w:rsid w:val="00704A36"/>
    <w:rsid w:val="0070716B"/>
    <w:rsid w:val="00707E11"/>
    <w:rsid w:val="007106BC"/>
    <w:rsid w:val="00711CDA"/>
    <w:rsid w:val="00712D3D"/>
    <w:rsid w:val="007149D8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25826"/>
    <w:rsid w:val="00731E84"/>
    <w:rsid w:val="00733A68"/>
    <w:rsid w:val="00734C9C"/>
    <w:rsid w:val="007363DA"/>
    <w:rsid w:val="00737366"/>
    <w:rsid w:val="00737912"/>
    <w:rsid w:val="00737BE7"/>
    <w:rsid w:val="007404DB"/>
    <w:rsid w:val="0074123D"/>
    <w:rsid w:val="00741BDC"/>
    <w:rsid w:val="00742288"/>
    <w:rsid w:val="0074240E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415A"/>
    <w:rsid w:val="00765A96"/>
    <w:rsid w:val="00767CA8"/>
    <w:rsid w:val="00767F46"/>
    <w:rsid w:val="00770A16"/>
    <w:rsid w:val="00771DA4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957"/>
    <w:rsid w:val="00790E26"/>
    <w:rsid w:val="0079217A"/>
    <w:rsid w:val="00793C43"/>
    <w:rsid w:val="00794765"/>
    <w:rsid w:val="0079556F"/>
    <w:rsid w:val="00796612"/>
    <w:rsid w:val="007A1234"/>
    <w:rsid w:val="007A3325"/>
    <w:rsid w:val="007A3D36"/>
    <w:rsid w:val="007A4EF0"/>
    <w:rsid w:val="007A5102"/>
    <w:rsid w:val="007A542D"/>
    <w:rsid w:val="007A66FB"/>
    <w:rsid w:val="007B06A1"/>
    <w:rsid w:val="007B13E0"/>
    <w:rsid w:val="007B187F"/>
    <w:rsid w:val="007B2EE7"/>
    <w:rsid w:val="007B32DF"/>
    <w:rsid w:val="007B39DB"/>
    <w:rsid w:val="007B3D02"/>
    <w:rsid w:val="007B69FE"/>
    <w:rsid w:val="007C0905"/>
    <w:rsid w:val="007C0CB2"/>
    <w:rsid w:val="007C0E4E"/>
    <w:rsid w:val="007C15A8"/>
    <w:rsid w:val="007C36A1"/>
    <w:rsid w:val="007C4871"/>
    <w:rsid w:val="007C4C1A"/>
    <w:rsid w:val="007C6707"/>
    <w:rsid w:val="007C7FBA"/>
    <w:rsid w:val="007D0664"/>
    <w:rsid w:val="007D674E"/>
    <w:rsid w:val="007D73D0"/>
    <w:rsid w:val="007D76AD"/>
    <w:rsid w:val="007D7DAE"/>
    <w:rsid w:val="007E1914"/>
    <w:rsid w:val="007E1C7F"/>
    <w:rsid w:val="007E24D6"/>
    <w:rsid w:val="007E292F"/>
    <w:rsid w:val="007E3732"/>
    <w:rsid w:val="007E6206"/>
    <w:rsid w:val="007E6702"/>
    <w:rsid w:val="007F0501"/>
    <w:rsid w:val="007F49A3"/>
    <w:rsid w:val="007F4DDE"/>
    <w:rsid w:val="007F530E"/>
    <w:rsid w:val="00801169"/>
    <w:rsid w:val="0080172B"/>
    <w:rsid w:val="008036BA"/>
    <w:rsid w:val="00803707"/>
    <w:rsid w:val="00804B05"/>
    <w:rsid w:val="0080522E"/>
    <w:rsid w:val="00805276"/>
    <w:rsid w:val="00805999"/>
    <w:rsid w:val="00806C5E"/>
    <w:rsid w:val="00806DC6"/>
    <w:rsid w:val="00807084"/>
    <w:rsid w:val="00807958"/>
    <w:rsid w:val="00810667"/>
    <w:rsid w:val="00813031"/>
    <w:rsid w:val="00814683"/>
    <w:rsid w:val="00814F57"/>
    <w:rsid w:val="008159DB"/>
    <w:rsid w:val="008160F7"/>
    <w:rsid w:val="00817CC5"/>
    <w:rsid w:val="008219C0"/>
    <w:rsid w:val="00821AC6"/>
    <w:rsid w:val="00823099"/>
    <w:rsid w:val="00825354"/>
    <w:rsid w:val="00826370"/>
    <w:rsid w:val="00827926"/>
    <w:rsid w:val="00832A43"/>
    <w:rsid w:val="00832BDA"/>
    <w:rsid w:val="00835C78"/>
    <w:rsid w:val="0083620E"/>
    <w:rsid w:val="00842E22"/>
    <w:rsid w:val="00842F95"/>
    <w:rsid w:val="00843833"/>
    <w:rsid w:val="00844D3C"/>
    <w:rsid w:val="00846671"/>
    <w:rsid w:val="00846936"/>
    <w:rsid w:val="00847A6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3DF4"/>
    <w:rsid w:val="00864A4D"/>
    <w:rsid w:val="00865DD4"/>
    <w:rsid w:val="0086799F"/>
    <w:rsid w:val="008704B1"/>
    <w:rsid w:val="008733EB"/>
    <w:rsid w:val="008803A8"/>
    <w:rsid w:val="008820F0"/>
    <w:rsid w:val="00883E52"/>
    <w:rsid w:val="00886395"/>
    <w:rsid w:val="0089000F"/>
    <w:rsid w:val="00891E02"/>
    <w:rsid w:val="00892461"/>
    <w:rsid w:val="00892A11"/>
    <w:rsid w:val="008932B6"/>
    <w:rsid w:val="00894165"/>
    <w:rsid w:val="00895579"/>
    <w:rsid w:val="008A020C"/>
    <w:rsid w:val="008A100A"/>
    <w:rsid w:val="008A111A"/>
    <w:rsid w:val="008A1748"/>
    <w:rsid w:val="008A3C0E"/>
    <w:rsid w:val="008A50AE"/>
    <w:rsid w:val="008A774A"/>
    <w:rsid w:val="008B0DC3"/>
    <w:rsid w:val="008B2217"/>
    <w:rsid w:val="008B3B68"/>
    <w:rsid w:val="008B4252"/>
    <w:rsid w:val="008B5C66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2223"/>
    <w:rsid w:val="008D605A"/>
    <w:rsid w:val="008D6799"/>
    <w:rsid w:val="008D7092"/>
    <w:rsid w:val="008D7DC5"/>
    <w:rsid w:val="008E0943"/>
    <w:rsid w:val="008E3095"/>
    <w:rsid w:val="008E4F7C"/>
    <w:rsid w:val="008E5EAB"/>
    <w:rsid w:val="008E7E0D"/>
    <w:rsid w:val="008F2234"/>
    <w:rsid w:val="008F305C"/>
    <w:rsid w:val="008F3F3B"/>
    <w:rsid w:val="008F6CD2"/>
    <w:rsid w:val="008F76CE"/>
    <w:rsid w:val="008F7EAF"/>
    <w:rsid w:val="009000C2"/>
    <w:rsid w:val="009026DC"/>
    <w:rsid w:val="009028A1"/>
    <w:rsid w:val="00902B3A"/>
    <w:rsid w:val="00903E58"/>
    <w:rsid w:val="009041F3"/>
    <w:rsid w:val="009050E9"/>
    <w:rsid w:val="0090583A"/>
    <w:rsid w:val="00906349"/>
    <w:rsid w:val="00906623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D2C"/>
    <w:rsid w:val="009243B9"/>
    <w:rsid w:val="00924C65"/>
    <w:rsid w:val="0092578D"/>
    <w:rsid w:val="0092661F"/>
    <w:rsid w:val="00926A41"/>
    <w:rsid w:val="00926CAA"/>
    <w:rsid w:val="00927C6B"/>
    <w:rsid w:val="00930521"/>
    <w:rsid w:val="00931B50"/>
    <w:rsid w:val="00934490"/>
    <w:rsid w:val="00936DCB"/>
    <w:rsid w:val="00937191"/>
    <w:rsid w:val="009373C9"/>
    <w:rsid w:val="009377CC"/>
    <w:rsid w:val="00941529"/>
    <w:rsid w:val="00941A4C"/>
    <w:rsid w:val="009436C9"/>
    <w:rsid w:val="00945FBE"/>
    <w:rsid w:val="009465FC"/>
    <w:rsid w:val="00947070"/>
    <w:rsid w:val="00947DB5"/>
    <w:rsid w:val="00950279"/>
    <w:rsid w:val="00952B5B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483A"/>
    <w:rsid w:val="009855D8"/>
    <w:rsid w:val="009863D2"/>
    <w:rsid w:val="00987174"/>
    <w:rsid w:val="00987638"/>
    <w:rsid w:val="00987774"/>
    <w:rsid w:val="009879F2"/>
    <w:rsid w:val="00987E07"/>
    <w:rsid w:val="0099042D"/>
    <w:rsid w:val="00991000"/>
    <w:rsid w:val="0099174F"/>
    <w:rsid w:val="009917EB"/>
    <w:rsid w:val="009925BD"/>
    <w:rsid w:val="00992893"/>
    <w:rsid w:val="00993E7F"/>
    <w:rsid w:val="00995988"/>
    <w:rsid w:val="009A0DFC"/>
    <w:rsid w:val="009A1DC2"/>
    <w:rsid w:val="009A3E9D"/>
    <w:rsid w:val="009A4068"/>
    <w:rsid w:val="009A476C"/>
    <w:rsid w:val="009A4CE1"/>
    <w:rsid w:val="009A5214"/>
    <w:rsid w:val="009A5D83"/>
    <w:rsid w:val="009A6199"/>
    <w:rsid w:val="009A6E7D"/>
    <w:rsid w:val="009A7C91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5B62"/>
    <w:rsid w:val="009C6ED3"/>
    <w:rsid w:val="009D0DA0"/>
    <w:rsid w:val="009D0E16"/>
    <w:rsid w:val="009D22A2"/>
    <w:rsid w:val="009D3823"/>
    <w:rsid w:val="009D587C"/>
    <w:rsid w:val="009D5E5A"/>
    <w:rsid w:val="009D79C3"/>
    <w:rsid w:val="009D7B2E"/>
    <w:rsid w:val="009E0625"/>
    <w:rsid w:val="009E0639"/>
    <w:rsid w:val="009E079F"/>
    <w:rsid w:val="009E1266"/>
    <w:rsid w:val="009E1B0F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123"/>
    <w:rsid w:val="00A01CFF"/>
    <w:rsid w:val="00A02284"/>
    <w:rsid w:val="00A04CDB"/>
    <w:rsid w:val="00A06DA7"/>
    <w:rsid w:val="00A1736C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BF4"/>
    <w:rsid w:val="00A30C4B"/>
    <w:rsid w:val="00A30C9D"/>
    <w:rsid w:val="00A31205"/>
    <w:rsid w:val="00A32169"/>
    <w:rsid w:val="00A32EC4"/>
    <w:rsid w:val="00A33C2E"/>
    <w:rsid w:val="00A347E4"/>
    <w:rsid w:val="00A35184"/>
    <w:rsid w:val="00A35BBA"/>
    <w:rsid w:val="00A35CD2"/>
    <w:rsid w:val="00A36B9B"/>
    <w:rsid w:val="00A37089"/>
    <w:rsid w:val="00A37ABF"/>
    <w:rsid w:val="00A37CE3"/>
    <w:rsid w:val="00A37F93"/>
    <w:rsid w:val="00A40AB6"/>
    <w:rsid w:val="00A41E09"/>
    <w:rsid w:val="00A444E7"/>
    <w:rsid w:val="00A446B7"/>
    <w:rsid w:val="00A471D2"/>
    <w:rsid w:val="00A47DF0"/>
    <w:rsid w:val="00A5304C"/>
    <w:rsid w:val="00A53B1F"/>
    <w:rsid w:val="00A5441C"/>
    <w:rsid w:val="00A54C9A"/>
    <w:rsid w:val="00A5600B"/>
    <w:rsid w:val="00A56F55"/>
    <w:rsid w:val="00A61462"/>
    <w:rsid w:val="00A62DA3"/>
    <w:rsid w:val="00A65644"/>
    <w:rsid w:val="00A65E61"/>
    <w:rsid w:val="00A6629A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63E"/>
    <w:rsid w:val="00A80780"/>
    <w:rsid w:val="00A84A22"/>
    <w:rsid w:val="00A87D6C"/>
    <w:rsid w:val="00A91C34"/>
    <w:rsid w:val="00AA071D"/>
    <w:rsid w:val="00AA1F86"/>
    <w:rsid w:val="00AA2159"/>
    <w:rsid w:val="00AA44E6"/>
    <w:rsid w:val="00AA4BE1"/>
    <w:rsid w:val="00AA5F6F"/>
    <w:rsid w:val="00AA66A7"/>
    <w:rsid w:val="00AA77D6"/>
    <w:rsid w:val="00AB051B"/>
    <w:rsid w:val="00AB0E88"/>
    <w:rsid w:val="00AB193F"/>
    <w:rsid w:val="00AB355B"/>
    <w:rsid w:val="00AB3EDB"/>
    <w:rsid w:val="00AB41B0"/>
    <w:rsid w:val="00AB4673"/>
    <w:rsid w:val="00AB4C25"/>
    <w:rsid w:val="00AB50DF"/>
    <w:rsid w:val="00AB6144"/>
    <w:rsid w:val="00AC1F2B"/>
    <w:rsid w:val="00AC2447"/>
    <w:rsid w:val="00AC5A58"/>
    <w:rsid w:val="00AC5EC4"/>
    <w:rsid w:val="00AC66FB"/>
    <w:rsid w:val="00AD05F1"/>
    <w:rsid w:val="00AD3611"/>
    <w:rsid w:val="00AD4450"/>
    <w:rsid w:val="00AD673B"/>
    <w:rsid w:val="00AD73B9"/>
    <w:rsid w:val="00AD776A"/>
    <w:rsid w:val="00AE0530"/>
    <w:rsid w:val="00AE52A2"/>
    <w:rsid w:val="00AE53E2"/>
    <w:rsid w:val="00AE59D2"/>
    <w:rsid w:val="00AF03B2"/>
    <w:rsid w:val="00AF0E2E"/>
    <w:rsid w:val="00AF1CB6"/>
    <w:rsid w:val="00AF208C"/>
    <w:rsid w:val="00AF29C0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329A"/>
    <w:rsid w:val="00B169CA"/>
    <w:rsid w:val="00B1717A"/>
    <w:rsid w:val="00B2039D"/>
    <w:rsid w:val="00B20CB3"/>
    <w:rsid w:val="00B20DC2"/>
    <w:rsid w:val="00B22C04"/>
    <w:rsid w:val="00B2666E"/>
    <w:rsid w:val="00B26A51"/>
    <w:rsid w:val="00B278AE"/>
    <w:rsid w:val="00B300AF"/>
    <w:rsid w:val="00B324D2"/>
    <w:rsid w:val="00B32C3F"/>
    <w:rsid w:val="00B32E96"/>
    <w:rsid w:val="00B332B7"/>
    <w:rsid w:val="00B3350F"/>
    <w:rsid w:val="00B3572F"/>
    <w:rsid w:val="00B358A7"/>
    <w:rsid w:val="00B36EAF"/>
    <w:rsid w:val="00B40379"/>
    <w:rsid w:val="00B40C63"/>
    <w:rsid w:val="00B42D82"/>
    <w:rsid w:val="00B45364"/>
    <w:rsid w:val="00B51B3E"/>
    <w:rsid w:val="00B5263A"/>
    <w:rsid w:val="00B5695A"/>
    <w:rsid w:val="00B61C8D"/>
    <w:rsid w:val="00B61E5F"/>
    <w:rsid w:val="00B63224"/>
    <w:rsid w:val="00B6416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779A1"/>
    <w:rsid w:val="00B8129C"/>
    <w:rsid w:val="00B81DA2"/>
    <w:rsid w:val="00B82367"/>
    <w:rsid w:val="00B828D1"/>
    <w:rsid w:val="00B842CB"/>
    <w:rsid w:val="00B843F4"/>
    <w:rsid w:val="00B84E28"/>
    <w:rsid w:val="00B873C8"/>
    <w:rsid w:val="00B91DA8"/>
    <w:rsid w:val="00B939B2"/>
    <w:rsid w:val="00B94009"/>
    <w:rsid w:val="00B942EB"/>
    <w:rsid w:val="00B95704"/>
    <w:rsid w:val="00B95CB8"/>
    <w:rsid w:val="00B97F0D"/>
    <w:rsid w:val="00BA0076"/>
    <w:rsid w:val="00BA095F"/>
    <w:rsid w:val="00BA1C66"/>
    <w:rsid w:val="00BA260E"/>
    <w:rsid w:val="00BA34E6"/>
    <w:rsid w:val="00BB0436"/>
    <w:rsid w:val="00BB1362"/>
    <w:rsid w:val="00BB1433"/>
    <w:rsid w:val="00BB180B"/>
    <w:rsid w:val="00BB27BB"/>
    <w:rsid w:val="00BB3F8C"/>
    <w:rsid w:val="00BB4D20"/>
    <w:rsid w:val="00BB645C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5C68"/>
    <w:rsid w:val="00BD67F9"/>
    <w:rsid w:val="00BD7108"/>
    <w:rsid w:val="00BE3FBC"/>
    <w:rsid w:val="00BE42BD"/>
    <w:rsid w:val="00BE67A8"/>
    <w:rsid w:val="00BE6D9B"/>
    <w:rsid w:val="00BE7959"/>
    <w:rsid w:val="00BF0773"/>
    <w:rsid w:val="00BF1073"/>
    <w:rsid w:val="00BF1622"/>
    <w:rsid w:val="00BF1EA4"/>
    <w:rsid w:val="00BF25AE"/>
    <w:rsid w:val="00BF3FFA"/>
    <w:rsid w:val="00BF4E07"/>
    <w:rsid w:val="00BF60B3"/>
    <w:rsid w:val="00BF6C6D"/>
    <w:rsid w:val="00BF7D51"/>
    <w:rsid w:val="00C01C6C"/>
    <w:rsid w:val="00C02AB8"/>
    <w:rsid w:val="00C03079"/>
    <w:rsid w:val="00C03BB8"/>
    <w:rsid w:val="00C057C4"/>
    <w:rsid w:val="00C1171D"/>
    <w:rsid w:val="00C12C9F"/>
    <w:rsid w:val="00C13A0F"/>
    <w:rsid w:val="00C14672"/>
    <w:rsid w:val="00C150C2"/>
    <w:rsid w:val="00C16FF9"/>
    <w:rsid w:val="00C17543"/>
    <w:rsid w:val="00C20349"/>
    <w:rsid w:val="00C20733"/>
    <w:rsid w:val="00C21A96"/>
    <w:rsid w:val="00C22725"/>
    <w:rsid w:val="00C24742"/>
    <w:rsid w:val="00C24C4F"/>
    <w:rsid w:val="00C2520A"/>
    <w:rsid w:val="00C26B86"/>
    <w:rsid w:val="00C26C19"/>
    <w:rsid w:val="00C3008E"/>
    <w:rsid w:val="00C32278"/>
    <w:rsid w:val="00C35164"/>
    <w:rsid w:val="00C3577C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1740"/>
    <w:rsid w:val="00C520B5"/>
    <w:rsid w:val="00C53443"/>
    <w:rsid w:val="00C545DE"/>
    <w:rsid w:val="00C54CCD"/>
    <w:rsid w:val="00C564B0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3075"/>
    <w:rsid w:val="00C83D93"/>
    <w:rsid w:val="00C846F6"/>
    <w:rsid w:val="00C8496E"/>
    <w:rsid w:val="00C84A34"/>
    <w:rsid w:val="00C85585"/>
    <w:rsid w:val="00C859A0"/>
    <w:rsid w:val="00C85AD4"/>
    <w:rsid w:val="00C9204E"/>
    <w:rsid w:val="00C92664"/>
    <w:rsid w:val="00C93C1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D84"/>
    <w:rsid w:val="00CC581E"/>
    <w:rsid w:val="00CC5FE0"/>
    <w:rsid w:val="00CC60D0"/>
    <w:rsid w:val="00CC671C"/>
    <w:rsid w:val="00CC71C6"/>
    <w:rsid w:val="00CD120C"/>
    <w:rsid w:val="00CD14D2"/>
    <w:rsid w:val="00CD26B1"/>
    <w:rsid w:val="00CE09CA"/>
    <w:rsid w:val="00CE14F8"/>
    <w:rsid w:val="00CE386F"/>
    <w:rsid w:val="00CE6923"/>
    <w:rsid w:val="00CF1027"/>
    <w:rsid w:val="00CF105D"/>
    <w:rsid w:val="00CF5A86"/>
    <w:rsid w:val="00D004A6"/>
    <w:rsid w:val="00D00C13"/>
    <w:rsid w:val="00D013B2"/>
    <w:rsid w:val="00D01C6C"/>
    <w:rsid w:val="00D02627"/>
    <w:rsid w:val="00D02637"/>
    <w:rsid w:val="00D06801"/>
    <w:rsid w:val="00D1175A"/>
    <w:rsid w:val="00D140DC"/>
    <w:rsid w:val="00D1590E"/>
    <w:rsid w:val="00D16485"/>
    <w:rsid w:val="00D206E9"/>
    <w:rsid w:val="00D24E08"/>
    <w:rsid w:val="00D2606C"/>
    <w:rsid w:val="00D26879"/>
    <w:rsid w:val="00D269DB"/>
    <w:rsid w:val="00D26CD8"/>
    <w:rsid w:val="00D32287"/>
    <w:rsid w:val="00D32574"/>
    <w:rsid w:val="00D33037"/>
    <w:rsid w:val="00D337D8"/>
    <w:rsid w:val="00D33996"/>
    <w:rsid w:val="00D365ED"/>
    <w:rsid w:val="00D37154"/>
    <w:rsid w:val="00D3751F"/>
    <w:rsid w:val="00D37571"/>
    <w:rsid w:val="00D4002C"/>
    <w:rsid w:val="00D4194F"/>
    <w:rsid w:val="00D43BA2"/>
    <w:rsid w:val="00D44286"/>
    <w:rsid w:val="00D450F8"/>
    <w:rsid w:val="00D477C1"/>
    <w:rsid w:val="00D4782C"/>
    <w:rsid w:val="00D5021D"/>
    <w:rsid w:val="00D52D34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05D7"/>
    <w:rsid w:val="00D912FF"/>
    <w:rsid w:val="00D951E9"/>
    <w:rsid w:val="00D95372"/>
    <w:rsid w:val="00D95C00"/>
    <w:rsid w:val="00D96860"/>
    <w:rsid w:val="00D97F13"/>
    <w:rsid w:val="00DA1C49"/>
    <w:rsid w:val="00DA4966"/>
    <w:rsid w:val="00DB04F5"/>
    <w:rsid w:val="00DB3445"/>
    <w:rsid w:val="00DB55A1"/>
    <w:rsid w:val="00DC0C24"/>
    <w:rsid w:val="00DC1F22"/>
    <w:rsid w:val="00DC47FE"/>
    <w:rsid w:val="00DC488C"/>
    <w:rsid w:val="00DC7F67"/>
    <w:rsid w:val="00DD1CE0"/>
    <w:rsid w:val="00DD42A5"/>
    <w:rsid w:val="00DD4BDD"/>
    <w:rsid w:val="00DD5335"/>
    <w:rsid w:val="00DD5A85"/>
    <w:rsid w:val="00DD5BA8"/>
    <w:rsid w:val="00DD7200"/>
    <w:rsid w:val="00DE22C5"/>
    <w:rsid w:val="00DE2904"/>
    <w:rsid w:val="00DE3105"/>
    <w:rsid w:val="00DE4D55"/>
    <w:rsid w:val="00DE78FA"/>
    <w:rsid w:val="00DF1400"/>
    <w:rsid w:val="00DF7EC6"/>
    <w:rsid w:val="00E049AD"/>
    <w:rsid w:val="00E054E7"/>
    <w:rsid w:val="00E06B75"/>
    <w:rsid w:val="00E11658"/>
    <w:rsid w:val="00E11E0A"/>
    <w:rsid w:val="00E12DFF"/>
    <w:rsid w:val="00E14CBC"/>
    <w:rsid w:val="00E14E32"/>
    <w:rsid w:val="00E201EE"/>
    <w:rsid w:val="00E22077"/>
    <w:rsid w:val="00E22C12"/>
    <w:rsid w:val="00E240D6"/>
    <w:rsid w:val="00E2524C"/>
    <w:rsid w:val="00E252F0"/>
    <w:rsid w:val="00E25513"/>
    <w:rsid w:val="00E27D45"/>
    <w:rsid w:val="00E32307"/>
    <w:rsid w:val="00E33138"/>
    <w:rsid w:val="00E332CA"/>
    <w:rsid w:val="00E333E7"/>
    <w:rsid w:val="00E337C3"/>
    <w:rsid w:val="00E34EF1"/>
    <w:rsid w:val="00E378F9"/>
    <w:rsid w:val="00E3790A"/>
    <w:rsid w:val="00E417E1"/>
    <w:rsid w:val="00E420D5"/>
    <w:rsid w:val="00E43D64"/>
    <w:rsid w:val="00E45E34"/>
    <w:rsid w:val="00E464F8"/>
    <w:rsid w:val="00E50761"/>
    <w:rsid w:val="00E551BA"/>
    <w:rsid w:val="00E619F2"/>
    <w:rsid w:val="00E62169"/>
    <w:rsid w:val="00E65C7B"/>
    <w:rsid w:val="00E65D03"/>
    <w:rsid w:val="00E65FA5"/>
    <w:rsid w:val="00E70B7C"/>
    <w:rsid w:val="00E710B5"/>
    <w:rsid w:val="00E7515A"/>
    <w:rsid w:val="00E76738"/>
    <w:rsid w:val="00E7751E"/>
    <w:rsid w:val="00E77915"/>
    <w:rsid w:val="00E77D1C"/>
    <w:rsid w:val="00E80128"/>
    <w:rsid w:val="00E80411"/>
    <w:rsid w:val="00E8171C"/>
    <w:rsid w:val="00E8333A"/>
    <w:rsid w:val="00E8408F"/>
    <w:rsid w:val="00E85162"/>
    <w:rsid w:val="00E85E9F"/>
    <w:rsid w:val="00E87FD0"/>
    <w:rsid w:val="00E9115C"/>
    <w:rsid w:val="00E915C8"/>
    <w:rsid w:val="00E91CD7"/>
    <w:rsid w:val="00E92E86"/>
    <w:rsid w:val="00E95DFA"/>
    <w:rsid w:val="00E968B8"/>
    <w:rsid w:val="00E96B4A"/>
    <w:rsid w:val="00E96F70"/>
    <w:rsid w:val="00E9795D"/>
    <w:rsid w:val="00EA02E0"/>
    <w:rsid w:val="00EA0866"/>
    <w:rsid w:val="00EA177A"/>
    <w:rsid w:val="00EA192C"/>
    <w:rsid w:val="00EA1DCE"/>
    <w:rsid w:val="00EA24DC"/>
    <w:rsid w:val="00EA420B"/>
    <w:rsid w:val="00EA58CC"/>
    <w:rsid w:val="00EA620F"/>
    <w:rsid w:val="00EA734C"/>
    <w:rsid w:val="00EB0B30"/>
    <w:rsid w:val="00EB4246"/>
    <w:rsid w:val="00EB6575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5E9B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0388B"/>
    <w:rsid w:val="00F12E5F"/>
    <w:rsid w:val="00F13916"/>
    <w:rsid w:val="00F14234"/>
    <w:rsid w:val="00F14A76"/>
    <w:rsid w:val="00F14EDC"/>
    <w:rsid w:val="00F23E92"/>
    <w:rsid w:val="00F25F6E"/>
    <w:rsid w:val="00F27A43"/>
    <w:rsid w:val="00F317E0"/>
    <w:rsid w:val="00F349ED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25B"/>
    <w:rsid w:val="00F533D0"/>
    <w:rsid w:val="00F53DD5"/>
    <w:rsid w:val="00F56173"/>
    <w:rsid w:val="00F57E1C"/>
    <w:rsid w:val="00F63025"/>
    <w:rsid w:val="00F64019"/>
    <w:rsid w:val="00F64AF4"/>
    <w:rsid w:val="00F718F0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797"/>
    <w:rsid w:val="00F83D7C"/>
    <w:rsid w:val="00F85EA9"/>
    <w:rsid w:val="00F87269"/>
    <w:rsid w:val="00F872E5"/>
    <w:rsid w:val="00F87E79"/>
    <w:rsid w:val="00F903D0"/>
    <w:rsid w:val="00F908DB"/>
    <w:rsid w:val="00F912B4"/>
    <w:rsid w:val="00F923EE"/>
    <w:rsid w:val="00F9277C"/>
    <w:rsid w:val="00F92BBA"/>
    <w:rsid w:val="00F9689C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946"/>
    <w:rsid w:val="00FB4BF4"/>
    <w:rsid w:val="00FB706F"/>
    <w:rsid w:val="00FC17EA"/>
    <w:rsid w:val="00FC18BC"/>
    <w:rsid w:val="00FC1F4D"/>
    <w:rsid w:val="00FC58B5"/>
    <w:rsid w:val="00FD0A2C"/>
    <w:rsid w:val="00FD0D9A"/>
    <w:rsid w:val="00FD36EF"/>
    <w:rsid w:val="00FD57C0"/>
    <w:rsid w:val="00FE09DB"/>
    <w:rsid w:val="00FE3FCF"/>
    <w:rsid w:val="00FE690C"/>
    <w:rsid w:val="00FF05EB"/>
    <w:rsid w:val="00FF0CAF"/>
    <w:rsid w:val="00FF1C89"/>
    <w:rsid w:val="00FF1DBC"/>
    <w:rsid w:val="00FF2ADB"/>
    <w:rsid w:val="00FF2ED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E4129-7795-449E-8F8F-8B9DF6FC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5ED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2639AF"/>
  </w:style>
  <w:style w:type="character" w:styleId="aff">
    <w:name w:val="annotation reference"/>
    <w:basedOn w:val="a0"/>
    <w:uiPriority w:val="99"/>
    <w:semiHidden/>
    <w:unhideWhenUsed/>
    <w:rsid w:val="00B843F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843F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843F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843F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84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E27E-8D5B-4639-9D7A-0FDE424B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Егорова Ирина Владимировна</cp:lastModifiedBy>
  <cp:revision>17</cp:revision>
  <cp:lastPrinted>2019-08-07T12:05:00Z</cp:lastPrinted>
  <dcterms:created xsi:type="dcterms:W3CDTF">2019-07-02T14:01:00Z</dcterms:created>
  <dcterms:modified xsi:type="dcterms:W3CDTF">2019-08-07T12:06:00Z</dcterms:modified>
</cp:coreProperties>
</file>