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8"/>
        <w:gridCol w:w="117"/>
        <w:gridCol w:w="644"/>
        <w:gridCol w:w="607"/>
        <w:gridCol w:w="352"/>
        <w:gridCol w:w="415"/>
        <w:gridCol w:w="392"/>
        <w:gridCol w:w="410"/>
        <w:gridCol w:w="505"/>
        <w:gridCol w:w="577"/>
        <w:gridCol w:w="67"/>
        <w:gridCol w:w="451"/>
        <w:gridCol w:w="683"/>
        <w:gridCol w:w="322"/>
        <w:gridCol w:w="525"/>
        <w:gridCol w:w="473"/>
        <w:gridCol w:w="523"/>
        <w:gridCol w:w="472"/>
        <w:gridCol w:w="522"/>
        <w:gridCol w:w="470"/>
        <w:gridCol w:w="520"/>
      </w:tblGrid>
      <w:tr w:rsidR="006437BB" w:rsidTr="007531D7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7531D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7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7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7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225"/>
        </w:trPr>
        <w:tc>
          <w:tcPr>
            <w:tcW w:w="3529" w:type="dxa"/>
            <w:gridSpan w:val="9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7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5129" w:type="dxa"/>
            <w:gridSpan w:val="13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5129" w:type="dxa"/>
            <w:gridSpan w:val="13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5129" w:type="dxa"/>
            <w:gridSpan w:val="13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7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5129" w:type="dxa"/>
            <w:gridSpan w:val="13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c>
          <w:tcPr>
            <w:tcW w:w="59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83" w:type="dxa"/>
            <w:shd w:val="clear" w:color="FFFFFF" w:fill="auto"/>
            <w:vAlign w:val="bottom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gridBefore w:val="1"/>
          <w:wBefore w:w="284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:rsidR="006437BB" w:rsidRDefault="00353869" w:rsidP="007531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353869" w:rsidP="007531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10" w:type="dxa"/>
            <w:shd w:val="clear" w:color="FFFFFF" w:fill="auto"/>
            <w:vAlign w:val="center"/>
          </w:tcPr>
          <w:p w:rsidR="006437BB" w:rsidRDefault="00353869" w:rsidP="007531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4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7531D7" w:rsidP="007531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530</w:t>
            </w:r>
            <w:r w:rsidR="0035386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34" w:type="dxa"/>
            <w:gridSpan w:val="2"/>
            <w:shd w:val="clear" w:color="FFFFFF" w:fill="auto"/>
            <w:vAlign w:val="center"/>
          </w:tcPr>
          <w:p w:rsidR="006437BB" w:rsidRDefault="006437BB"/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 w:rsidTr="007531D7">
        <w:tc>
          <w:tcPr>
            <w:tcW w:w="5812" w:type="dxa"/>
            <w:gridSpan w:val="14"/>
            <w:shd w:val="clear" w:color="FFFFFF" w:fill="auto"/>
            <w:vAlign w:val="bottom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«Дирекция единого заказчика на услуги жилищно-коммунального хозяйства» на 2019-2021 годы</w:t>
            </w:r>
          </w:p>
        </w:tc>
        <w:tc>
          <w:tcPr>
            <w:tcW w:w="3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2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20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 w:rsidTr="007531D7">
        <w:tc>
          <w:tcPr>
            <w:tcW w:w="9639" w:type="dxa"/>
            <w:gridSpan w:val="22"/>
            <w:shd w:val="clear" w:color="FFFFFF" w:fill="auto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35386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37BB" w:rsidTr="007531D7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437BB" w:rsidRDefault="00353869" w:rsidP="00E571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муниципального унитарного предприятия «Дирекция единого заказчика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</w:t>
            </w:r>
            <w:r w:rsidR="00E5717F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 3  к настоящему приказу.</w:t>
            </w:r>
          </w:p>
        </w:tc>
      </w:tr>
      <w:tr w:rsidR="006437BB" w:rsidTr="007531D7">
        <w:tc>
          <w:tcPr>
            <w:tcW w:w="9639" w:type="dxa"/>
            <w:gridSpan w:val="22"/>
            <w:shd w:val="clear" w:color="FFFFFF" w:fill="auto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6437BB" w:rsidTr="007531D7">
        <w:tc>
          <w:tcPr>
            <w:tcW w:w="9639" w:type="dxa"/>
            <w:gridSpan w:val="22"/>
            <w:shd w:val="clear" w:color="FFFFFF" w:fill="auto"/>
          </w:tcPr>
          <w:p w:rsidR="006437BB" w:rsidRDefault="00353869" w:rsidP="005849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годы долгосрочные параметры регулирования деятельности муниципального унитарного предприятия «Дирекция единого заказчика на услуги жилищно-коммунального хозяйства» для</w:t>
            </w:r>
            <w:r w:rsidR="00584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</w:t>
            </w:r>
            <w:r w:rsidR="00584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приложениям № 4</w:t>
            </w:r>
            <w:r w:rsidR="00E5717F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6  к настоящему приказу.</w:t>
            </w:r>
          </w:p>
        </w:tc>
      </w:tr>
      <w:tr w:rsidR="006437BB" w:rsidTr="007531D7">
        <w:tc>
          <w:tcPr>
            <w:tcW w:w="9639" w:type="dxa"/>
            <w:gridSpan w:val="22"/>
            <w:shd w:val="clear" w:color="FFFFFF" w:fill="auto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437BB" w:rsidTr="007531D7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607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15" w:type="dxa"/>
            <w:shd w:val="clear" w:color="FFFFFF" w:fill="auto"/>
            <w:vAlign w:val="bottom"/>
          </w:tcPr>
          <w:p w:rsidR="006437BB" w:rsidRDefault="006437BB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6437BB" w:rsidRDefault="006437BB"/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3529" w:type="dxa"/>
            <w:gridSpan w:val="9"/>
            <w:shd w:val="clear" w:color="FFFFFF" w:fill="auto"/>
            <w:vAlign w:val="bottom"/>
          </w:tcPr>
          <w:p w:rsidR="006437BB" w:rsidRDefault="0035386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7531D7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 w:val="restart"/>
            <w:shd w:val="clear" w:color="FFFFFF" w:fill="auto"/>
            <w:vAlign w:val="bottom"/>
          </w:tcPr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531D7" w:rsidRDefault="007531D7" w:rsidP="00516E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530-РК</w:t>
            </w:r>
          </w:p>
        </w:tc>
      </w:tr>
      <w:tr w:rsidR="007531D7" w:rsidTr="007531D7"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7531D7" w:rsidRDefault="007531D7" w:rsidP="00516E1A">
            <w:pPr>
              <w:jc w:val="right"/>
            </w:pPr>
          </w:p>
        </w:tc>
      </w:tr>
      <w:tr w:rsidR="007531D7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7531D7" w:rsidRDefault="007531D7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37" w:type="dxa"/>
            <w:shd w:val="clear" w:color="FFFFFF" w:fill="auto"/>
            <w:vAlign w:val="bottom"/>
          </w:tcPr>
          <w:p w:rsidR="006437BB" w:rsidRDefault="006437BB"/>
        </w:tc>
        <w:tc>
          <w:tcPr>
            <w:tcW w:w="899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1" w:type="dxa"/>
            <w:shd w:val="clear" w:color="FFFFFF" w:fill="auto"/>
            <w:vAlign w:val="bottom"/>
          </w:tcPr>
          <w:p w:rsidR="006437BB" w:rsidRDefault="006437BB"/>
        </w:tc>
        <w:tc>
          <w:tcPr>
            <w:tcW w:w="36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8" w:type="dxa"/>
            <w:shd w:val="clear" w:color="FFFFFF" w:fill="auto"/>
            <w:vAlign w:val="bottom"/>
          </w:tcPr>
          <w:p w:rsidR="006437BB" w:rsidRDefault="006437BB"/>
        </w:tc>
        <w:tc>
          <w:tcPr>
            <w:tcW w:w="42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1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6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5" w:type="dxa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7BB" w:rsidTr="007531D7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73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951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7531D7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 w:rsidP="00693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6935E9">
              <w:rPr>
                <w:rFonts w:ascii="Times New Roman" w:hAnsi="Times New Roman"/>
                <w:sz w:val="20"/>
                <w:szCs w:val="20"/>
              </w:rPr>
              <w:t>МО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«Село Льва Толстого» и </w:t>
            </w:r>
            <w:r w:rsidR="006935E9">
              <w:rPr>
                <w:rFonts w:ascii="Times New Roman" w:hAnsi="Times New Roman"/>
                <w:sz w:val="20"/>
                <w:szCs w:val="20"/>
              </w:rPr>
              <w:t>МО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 w:rsidR="00E5717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1681,32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1809,99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2017,58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2171,99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437BB" w:rsidRDefault="00353869" w:rsidP="007531D7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7531D7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 w:val="restart"/>
            <w:shd w:val="clear" w:color="FFFFFF" w:fill="auto"/>
            <w:vAlign w:val="bottom"/>
          </w:tcPr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531D7" w:rsidRDefault="007531D7" w:rsidP="0025657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530-РК</w:t>
            </w:r>
          </w:p>
        </w:tc>
      </w:tr>
      <w:tr w:rsidR="007531D7" w:rsidTr="007531D7"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7531D7" w:rsidRDefault="007531D7" w:rsidP="00256573">
            <w:pPr>
              <w:jc w:val="right"/>
            </w:pPr>
          </w:p>
        </w:tc>
      </w:tr>
      <w:tr w:rsidR="007531D7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7531D7" w:rsidRDefault="007531D7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37" w:type="dxa"/>
            <w:shd w:val="clear" w:color="FFFFFF" w:fill="auto"/>
            <w:vAlign w:val="bottom"/>
          </w:tcPr>
          <w:p w:rsidR="006437BB" w:rsidRDefault="006437BB"/>
        </w:tc>
        <w:tc>
          <w:tcPr>
            <w:tcW w:w="899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1" w:type="dxa"/>
            <w:shd w:val="clear" w:color="FFFFFF" w:fill="auto"/>
            <w:vAlign w:val="bottom"/>
          </w:tcPr>
          <w:p w:rsidR="006437BB" w:rsidRDefault="006437BB"/>
        </w:tc>
        <w:tc>
          <w:tcPr>
            <w:tcW w:w="36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8" w:type="dxa"/>
            <w:shd w:val="clear" w:color="FFFFFF" w:fill="auto"/>
            <w:vAlign w:val="bottom"/>
          </w:tcPr>
          <w:p w:rsidR="006437BB" w:rsidRDefault="006437BB"/>
        </w:tc>
        <w:tc>
          <w:tcPr>
            <w:tcW w:w="42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1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6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5" w:type="dxa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7BB" w:rsidTr="007531D7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73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951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7531D7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 w:rsidP="00693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</w:t>
            </w:r>
            <w:r w:rsidR="002B2AA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плоснабжения, расположенным на территории </w:t>
            </w:r>
            <w:r w:rsidR="004B4D11">
              <w:rPr>
                <w:rFonts w:ascii="Times New Roman" w:hAnsi="Times New Roman"/>
                <w:sz w:val="20"/>
                <w:szCs w:val="20"/>
              </w:rPr>
              <w:t>МО Г</w:t>
            </w:r>
            <w:r w:rsidR="006935E9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«Город Кондрово»</w:t>
            </w: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1877,96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1962,51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1962,51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2022,14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2253,55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2355,01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2355,01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2426,57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437BB" w:rsidRDefault="00353869" w:rsidP="007531D7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7531D7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 w:val="restart"/>
            <w:shd w:val="clear" w:color="FFFFFF" w:fill="auto"/>
            <w:vAlign w:val="bottom"/>
          </w:tcPr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531D7" w:rsidRDefault="007531D7" w:rsidP="00DC63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530-РК</w:t>
            </w:r>
          </w:p>
        </w:tc>
      </w:tr>
      <w:tr w:rsidR="007531D7" w:rsidTr="007531D7"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7531D7" w:rsidRDefault="007531D7" w:rsidP="00DC639B">
            <w:pPr>
              <w:jc w:val="right"/>
            </w:pPr>
          </w:p>
        </w:tc>
      </w:tr>
      <w:tr w:rsidR="007531D7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531D7" w:rsidRDefault="007531D7"/>
        </w:tc>
        <w:tc>
          <w:tcPr>
            <w:tcW w:w="837" w:type="dxa"/>
            <w:shd w:val="clear" w:color="FFFFFF" w:fill="auto"/>
            <w:vAlign w:val="bottom"/>
          </w:tcPr>
          <w:p w:rsidR="007531D7" w:rsidRDefault="007531D7"/>
        </w:tc>
        <w:tc>
          <w:tcPr>
            <w:tcW w:w="899" w:type="dxa"/>
            <w:shd w:val="clear" w:color="FFFFFF" w:fill="auto"/>
            <w:vAlign w:val="bottom"/>
          </w:tcPr>
          <w:p w:rsidR="007531D7" w:rsidRDefault="007531D7"/>
        </w:tc>
        <w:tc>
          <w:tcPr>
            <w:tcW w:w="431" w:type="dxa"/>
            <w:shd w:val="clear" w:color="FFFFFF" w:fill="auto"/>
            <w:vAlign w:val="bottom"/>
          </w:tcPr>
          <w:p w:rsidR="007531D7" w:rsidRDefault="007531D7"/>
        </w:tc>
        <w:tc>
          <w:tcPr>
            <w:tcW w:w="361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20" w:type="dxa"/>
            <w:shd w:val="clear" w:color="FFFFFF" w:fill="auto"/>
            <w:vAlign w:val="bottom"/>
          </w:tcPr>
          <w:p w:rsidR="007531D7" w:rsidRDefault="007531D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7531D7" w:rsidRDefault="007531D7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37" w:type="dxa"/>
            <w:shd w:val="clear" w:color="FFFFFF" w:fill="auto"/>
            <w:vAlign w:val="bottom"/>
          </w:tcPr>
          <w:p w:rsidR="006437BB" w:rsidRDefault="006437BB"/>
        </w:tc>
        <w:tc>
          <w:tcPr>
            <w:tcW w:w="899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1" w:type="dxa"/>
            <w:shd w:val="clear" w:color="FFFFFF" w:fill="auto"/>
            <w:vAlign w:val="bottom"/>
          </w:tcPr>
          <w:p w:rsidR="006437BB" w:rsidRDefault="006437BB"/>
        </w:tc>
        <w:tc>
          <w:tcPr>
            <w:tcW w:w="36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68" w:type="dxa"/>
            <w:shd w:val="clear" w:color="FFFFFF" w:fill="auto"/>
            <w:vAlign w:val="bottom"/>
          </w:tcPr>
          <w:p w:rsidR="006437BB" w:rsidRDefault="006437BB"/>
        </w:tc>
        <w:tc>
          <w:tcPr>
            <w:tcW w:w="420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1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5" w:type="dxa"/>
            <w:shd w:val="clear" w:color="FFFFFF" w:fill="auto"/>
            <w:vAlign w:val="bottom"/>
          </w:tcPr>
          <w:p w:rsidR="006437BB" w:rsidRDefault="006437BB"/>
        </w:tc>
        <w:tc>
          <w:tcPr>
            <w:tcW w:w="436" w:type="dxa"/>
            <w:shd w:val="clear" w:color="FFFFFF" w:fill="auto"/>
            <w:vAlign w:val="bottom"/>
          </w:tcPr>
          <w:p w:rsidR="006437BB" w:rsidRDefault="006437BB"/>
        </w:tc>
        <w:tc>
          <w:tcPr>
            <w:tcW w:w="443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5" w:type="dxa"/>
            <w:shd w:val="clear" w:color="FFFFFF" w:fill="auto"/>
            <w:vAlign w:val="bottom"/>
          </w:tcPr>
          <w:p w:rsidR="006437BB" w:rsidRDefault="006437BB"/>
        </w:tc>
        <w:tc>
          <w:tcPr>
            <w:tcW w:w="761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7BB" w:rsidTr="007531D7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73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951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7531D7">
        <w:trPr>
          <w:trHeight w:val="957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 w:rsidP="002A2C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</w:t>
            </w:r>
            <w:r w:rsidR="00F9348F">
              <w:rPr>
                <w:rFonts w:ascii="Times New Roman" w:hAnsi="Times New Roman"/>
                <w:sz w:val="20"/>
                <w:szCs w:val="20"/>
              </w:rPr>
              <w:t xml:space="preserve">территории Дзержинского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(кроме </w:t>
            </w:r>
            <w:r w:rsidR="004E5085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«Город Кондрово», </w:t>
            </w:r>
            <w:r w:rsidR="004E5085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B81E98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Полотняный завод», </w:t>
            </w:r>
            <w:r w:rsidR="004B4D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085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4E5085">
              <w:rPr>
                <w:rFonts w:ascii="Times New Roman" w:hAnsi="Times New Roman"/>
                <w:sz w:val="20"/>
                <w:szCs w:val="20"/>
              </w:rPr>
              <w:t>МО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«Село Льва Толстого, </w:t>
            </w:r>
            <w:r w:rsidR="004E5085">
              <w:rPr>
                <w:rFonts w:ascii="Times New Roman" w:hAnsi="Times New Roman"/>
                <w:sz w:val="20"/>
                <w:szCs w:val="20"/>
              </w:rPr>
              <w:t>МО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1991,97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2192,05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2192,05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2249,74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25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2390,36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2630,46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2630,46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2699,69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437BB" w:rsidRDefault="00353869" w:rsidP="007531D7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7531D7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 w:val="restart"/>
            <w:shd w:val="clear" w:color="FFFFFF" w:fill="auto"/>
            <w:vAlign w:val="bottom"/>
          </w:tcPr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531D7" w:rsidRDefault="007531D7" w:rsidP="00413F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530-РК</w:t>
            </w:r>
          </w:p>
        </w:tc>
      </w:tr>
      <w:tr w:rsidR="007531D7" w:rsidTr="007531D7"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/>
            <w:shd w:val="clear" w:color="FFFFFF" w:fill="auto"/>
            <w:vAlign w:val="bottom"/>
          </w:tcPr>
          <w:p w:rsidR="007531D7" w:rsidRDefault="007531D7" w:rsidP="00413F33">
            <w:pPr>
              <w:jc w:val="right"/>
            </w:pPr>
          </w:p>
        </w:tc>
      </w:tr>
      <w:tr w:rsidR="007531D7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/>
            <w:shd w:val="clear" w:color="FFFFFF" w:fill="auto"/>
            <w:vAlign w:val="bottom"/>
          </w:tcPr>
          <w:p w:rsidR="007531D7" w:rsidRDefault="007531D7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9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8" w:type="dxa"/>
            <w:shd w:val="clear" w:color="FFFFFF" w:fill="auto"/>
            <w:vAlign w:val="bottom"/>
          </w:tcPr>
          <w:p w:rsidR="006437BB" w:rsidRDefault="006437BB"/>
        </w:tc>
        <w:tc>
          <w:tcPr>
            <w:tcW w:w="404" w:type="dxa"/>
            <w:shd w:val="clear" w:color="FFFFFF" w:fill="auto"/>
            <w:vAlign w:val="bottom"/>
          </w:tcPr>
          <w:p w:rsidR="006437BB" w:rsidRDefault="006437BB"/>
        </w:tc>
        <w:tc>
          <w:tcPr>
            <w:tcW w:w="71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46" w:type="dxa"/>
            <w:shd w:val="clear" w:color="FFFFFF" w:fill="auto"/>
            <w:vAlign w:val="bottom"/>
          </w:tcPr>
          <w:p w:rsidR="006437BB" w:rsidRDefault="006437BB"/>
        </w:tc>
        <w:tc>
          <w:tcPr>
            <w:tcW w:w="4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41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4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1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531D7" w:rsidRDefault="007531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31D7" w:rsidRDefault="007531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31D7" w:rsidRDefault="003538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7531D7" w:rsidRDefault="003538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437BB" w:rsidTr="007531D7">
        <w:tc>
          <w:tcPr>
            <w:tcW w:w="498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25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17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4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3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1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 w:rsidTr="007531D7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437BB" w:rsidTr="007531D7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6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2F67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</w:tr>
      <w:tr w:rsidR="006437BB" w:rsidTr="007531D7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</w:t>
            </w:r>
            <w:r w:rsidR="002F6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Pr="002F6792" w:rsidRDefault="00353869">
            <w:pPr>
              <w:wordWrap w:val="0"/>
              <w:jc w:val="center"/>
              <w:rPr>
                <w:szCs w:val="16"/>
              </w:rPr>
            </w:pPr>
            <w:r w:rsidRPr="002F6792">
              <w:rPr>
                <w:rFonts w:ascii="Times New Roman" w:hAnsi="Times New Roman"/>
                <w:szCs w:val="16"/>
              </w:rPr>
              <w:t>11 712,92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7531D7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 w:val="restart"/>
            <w:shd w:val="clear" w:color="FFFFFF" w:fill="auto"/>
            <w:vAlign w:val="bottom"/>
          </w:tcPr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531D7" w:rsidRDefault="007531D7" w:rsidP="00FB194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530-РК</w:t>
            </w:r>
          </w:p>
        </w:tc>
      </w:tr>
      <w:tr w:rsidR="007531D7" w:rsidTr="007531D7"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/>
            <w:shd w:val="clear" w:color="FFFFFF" w:fill="auto"/>
            <w:vAlign w:val="bottom"/>
          </w:tcPr>
          <w:p w:rsidR="007531D7" w:rsidRDefault="007531D7" w:rsidP="00FB194D">
            <w:pPr>
              <w:jc w:val="right"/>
            </w:pPr>
          </w:p>
        </w:tc>
      </w:tr>
      <w:tr w:rsidR="007531D7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/>
            <w:shd w:val="clear" w:color="FFFFFF" w:fill="auto"/>
            <w:vAlign w:val="bottom"/>
          </w:tcPr>
          <w:p w:rsidR="007531D7" w:rsidRDefault="007531D7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9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8" w:type="dxa"/>
            <w:shd w:val="clear" w:color="FFFFFF" w:fill="auto"/>
            <w:vAlign w:val="bottom"/>
          </w:tcPr>
          <w:p w:rsidR="006437BB" w:rsidRDefault="006437BB"/>
        </w:tc>
        <w:tc>
          <w:tcPr>
            <w:tcW w:w="404" w:type="dxa"/>
            <w:shd w:val="clear" w:color="FFFFFF" w:fill="auto"/>
            <w:vAlign w:val="bottom"/>
          </w:tcPr>
          <w:p w:rsidR="006437BB" w:rsidRDefault="006437BB"/>
        </w:tc>
        <w:tc>
          <w:tcPr>
            <w:tcW w:w="71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46" w:type="dxa"/>
            <w:shd w:val="clear" w:color="FFFFFF" w:fill="auto"/>
            <w:vAlign w:val="bottom"/>
          </w:tcPr>
          <w:p w:rsidR="006437BB" w:rsidRDefault="006437BB"/>
        </w:tc>
        <w:tc>
          <w:tcPr>
            <w:tcW w:w="4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41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4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1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531D7" w:rsidRDefault="007531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31D7" w:rsidRDefault="007531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31D7" w:rsidRDefault="003538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7531D7" w:rsidRDefault="003538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437BB" w:rsidTr="007531D7">
        <w:tc>
          <w:tcPr>
            <w:tcW w:w="498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25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17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4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3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1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 w:rsidTr="007531D7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437BB" w:rsidTr="007531D7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6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D3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</w:tr>
      <w:tr w:rsidR="006437BB" w:rsidTr="007531D7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</w:t>
            </w:r>
            <w:r w:rsidR="00FD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Pr="00FD3F79" w:rsidRDefault="00353869">
            <w:pPr>
              <w:wordWrap w:val="0"/>
              <w:jc w:val="center"/>
              <w:rPr>
                <w:szCs w:val="16"/>
              </w:rPr>
            </w:pPr>
            <w:r w:rsidRPr="00FD3F79">
              <w:rPr>
                <w:rFonts w:ascii="Times New Roman" w:hAnsi="Times New Roman"/>
                <w:szCs w:val="16"/>
              </w:rPr>
              <w:t>5 886,96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7531D7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 w:val="restart"/>
            <w:shd w:val="clear" w:color="FFFFFF" w:fill="auto"/>
            <w:vAlign w:val="bottom"/>
          </w:tcPr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7531D7" w:rsidRDefault="007531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531D7" w:rsidRDefault="007531D7" w:rsidP="00EE5E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530-РК</w:t>
            </w:r>
          </w:p>
        </w:tc>
      </w:tr>
      <w:tr w:rsidR="007531D7" w:rsidTr="007531D7"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/>
            <w:shd w:val="clear" w:color="FFFFFF" w:fill="auto"/>
            <w:vAlign w:val="bottom"/>
          </w:tcPr>
          <w:p w:rsidR="007531D7" w:rsidRDefault="007531D7" w:rsidP="00EE5EED">
            <w:pPr>
              <w:jc w:val="right"/>
            </w:pPr>
          </w:p>
        </w:tc>
      </w:tr>
      <w:tr w:rsidR="007531D7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7531D7" w:rsidRDefault="007531D7"/>
        </w:tc>
        <w:tc>
          <w:tcPr>
            <w:tcW w:w="866" w:type="dxa"/>
            <w:shd w:val="clear" w:color="FFFFFF" w:fill="auto"/>
            <w:vAlign w:val="bottom"/>
          </w:tcPr>
          <w:p w:rsidR="007531D7" w:rsidRDefault="007531D7"/>
        </w:tc>
        <w:tc>
          <w:tcPr>
            <w:tcW w:w="659" w:type="dxa"/>
            <w:shd w:val="clear" w:color="FFFFFF" w:fill="auto"/>
            <w:vAlign w:val="bottom"/>
          </w:tcPr>
          <w:p w:rsidR="007531D7" w:rsidRDefault="007531D7"/>
        </w:tc>
        <w:tc>
          <w:tcPr>
            <w:tcW w:w="358" w:type="dxa"/>
            <w:shd w:val="clear" w:color="FFFFFF" w:fill="auto"/>
            <w:vAlign w:val="bottom"/>
          </w:tcPr>
          <w:p w:rsidR="007531D7" w:rsidRDefault="007531D7"/>
        </w:tc>
        <w:tc>
          <w:tcPr>
            <w:tcW w:w="404" w:type="dxa"/>
            <w:shd w:val="clear" w:color="FFFFFF" w:fill="auto"/>
            <w:vAlign w:val="bottom"/>
          </w:tcPr>
          <w:p w:rsidR="007531D7" w:rsidRDefault="007531D7"/>
        </w:tc>
        <w:tc>
          <w:tcPr>
            <w:tcW w:w="717" w:type="dxa"/>
            <w:shd w:val="clear" w:color="FFFFFF" w:fill="auto"/>
            <w:vAlign w:val="bottom"/>
          </w:tcPr>
          <w:p w:rsidR="007531D7" w:rsidRDefault="007531D7"/>
        </w:tc>
        <w:tc>
          <w:tcPr>
            <w:tcW w:w="457" w:type="dxa"/>
            <w:shd w:val="clear" w:color="FFFFFF" w:fill="auto"/>
            <w:vAlign w:val="bottom"/>
          </w:tcPr>
          <w:p w:rsidR="007531D7" w:rsidRDefault="007531D7"/>
        </w:tc>
        <w:tc>
          <w:tcPr>
            <w:tcW w:w="5680" w:type="dxa"/>
            <w:gridSpan w:val="11"/>
            <w:vMerge/>
            <w:shd w:val="clear" w:color="FFFFFF" w:fill="auto"/>
            <w:vAlign w:val="bottom"/>
          </w:tcPr>
          <w:p w:rsidR="007531D7" w:rsidRDefault="007531D7">
            <w:pPr>
              <w:jc w:val="right"/>
            </w:pPr>
          </w:p>
        </w:tc>
      </w:tr>
      <w:tr w:rsidR="006437BB" w:rsidTr="007531D7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9" w:type="dxa"/>
            <w:shd w:val="clear" w:color="FFFFFF" w:fill="auto"/>
            <w:vAlign w:val="bottom"/>
          </w:tcPr>
          <w:p w:rsidR="006437BB" w:rsidRDefault="006437BB"/>
        </w:tc>
        <w:tc>
          <w:tcPr>
            <w:tcW w:w="358" w:type="dxa"/>
            <w:shd w:val="clear" w:color="FFFFFF" w:fill="auto"/>
            <w:vAlign w:val="bottom"/>
          </w:tcPr>
          <w:p w:rsidR="006437BB" w:rsidRDefault="006437BB"/>
        </w:tc>
        <w:tc>
          <w:tcPr>
            <w:tcW w:w="404" w:type="dxa"/>
            <w:shd w:val="clear" w:color="FFFFFF" w:fill="auto"/>
            <w:vAlign w:val="bottom"/>
          </w:tcPr>
          <w:p w:rsidR="006437BB" w:rsidRDefault="006437BB"/>
        </w:tc>
        <w:tc>
          <w:tcPr>
            <w:tcW w:w="71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5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52" w:type="dxa"/>
            <w:shd w:val="clear" w:color="FFFFFF" w:fill="auto"/>
            <w:vAlign w:val="bottom"/>
          </w:tcPr>
          <w:p w:rsidR="006437BB" w:rsidRDefault="006437BB"/>
        </w:tc>
        <w:tc>
          <w:tcPr>
            <w:tcW w:w="4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46" w:type="dxa"/>
            <w:shd w:val="clear" w:color="FFFFFF" w:fill="auto"/>
            <w:vAlign w:val="bottom"/>
          </w:tcPr>
          <w:p w:rsidR="006437BB" w:rsidRDefault="006437BB"/>
        </w:tc>
        <w:tc>
          <w:tcPr>
            <w:tcW w:w="4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41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7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7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4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81" w:type="dxa"/>
            <w:shd w:val="clear" w:color="FFFFFF" w:fill="auto"/>
            <w:vAlign w:val="bottom"/>
          </w:tcPr>
          <w:p w:rsidR="006437BB" w:rsidRDefault="006437BB"/>
        </w:tc>
        <w:tc>
          <w:tcPr>
            <w:tcW w:w="531" w:type="dxa"/>
            <w:shd w:val="clear" w:color="FFFFFF" w:fill="auto"/>
            <w:vAlign w:val="bottom"/>
          </w:tcPr>
          <w:p w:rsidR="006437BB" w:rsidRDefault="006437BB"/>
        </w:tc>
      </w:tr>
      <w:tr w:rsidR="006437BB" w:rsidTr="007531D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531D7" w:rsidRDefault="007531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31D7" w:rsidRDefault="007531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31D7" w:rsidRDefault="003538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7531D7" w:rsidRDefault="003538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531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437BB" w:rsidTr="007531D7">
        <w:tc>
          <w:tcPr>
            <w:tcW w:w="498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25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717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4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3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24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01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 w:rsidTr="007531D7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437BB" w:rsidTr="007531D7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6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D3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</w:tr>
      <w:tr w:rsidR="006437BB" w:rsidTr="007531D7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</w:t>
            </w:r>
            <w:r w:rsidR="00FD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Pr="00FD3F79" w:rsidRDefault="00353869">
            <w:pPr>
              <w:wordWrap w:val="0"/>
              <w:jc w:val="center"/>
              <w:rPr>
                <w:szCs w:val="16"/>
              </w:rPr>
            </w:pPr>
            <w:r w:rsidRPr="00FD3F79">
              <w:rPr>
                <w:rFonts w:ascii="Times New Roman" w:hAnsi="Times New Roman"/>
                <w:szCs w:val="16"/>
              </w:rPr>
              <w:t>2 587,15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№3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 w:rsidTr="007531D7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№3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37BB" w:rsidRDefault="006437BB">
      <w:bookmarkStart w:id="0" w:name="_GoBack"/>
      <w:bookmarkEnd w:id="0"/>
    </w:p>
    <w:sectPr w:rsidR="006437B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BB"/>
    <w:rsid w:val="002A2C54"/>
    <w:rsid w:val="002B2AAE"/>
    <w:rsid w:val="002F6792"/>
    <w:rsid w:val="00353869"/>
    <w:rsid w:val="004B4D11"/>
    <w:rsid w:val="004E5085"/>
    <w:rsid w:val="0058494C"/>
    <w:rsid w:val="006437BB"/>
    <w:rsid w:val="006935E9"/>
    <w:rsid w:val="007531D7"/>
    <w:rsid w:val="009D59FF"/>
    <w:rsid w:val="00B81E98"/>
    <w:rsid w:val="00CC683B"/>
    <w:rsid w:val="00E5717F"/>
    <w:rsid w:val="00F9348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0996C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17</cp:revision>
  <cp:lastPrinted>2018-12-15T12:12:00Z</cp:lastPrinted>
  <dcterms:created xsi:type="dcterms:W3CDTF">2018-12-15T12:11:00Z</dcterms:created>
  <dcterms:modified xsi:type="dcterms:W3CDTF">2018-12-19T17:58:00Z</dcterms:modified>
</cp:coreProperties>
</file>