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691F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381" w:rsidRPr="00D60D5E" w:rsidRDefault="00A75381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«08</w:t>
      </w:r>
      <w:r w:rsidRPr="00691F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t>Е.П. Клинушкина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С.И. Ландухова.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4F5E42" w:rsidRPr="00371D4D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4F5E42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, представитель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3CA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                 регулируемой организации согласно явочному листу от 08.06</w:t>
      </w:r>
      <w:r>
        <w:rPr>
          <w:rFonts w:ascii="Times New Roman" w:eastAsia="Times New Roman" w:hAnsi="Times New Roman" w:cs="Times New Roman"/>
          <w:sz w:val="24"/>
          <w:szCs w:val="24"/>
        </w:rPr>
        <w:t>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3CA"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E11658" w:rsidP="00E1165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5162" w:rsidRPr="00E85162">
        <w:rPr>
          <w:rFonts w:ascii="Times New Roman" w:hAnsi="Times New Roman"/>
          <w:b/>
          <w:sz w:val="24"/>
          <w:szCs w:val="24"/>
        </w:rPr>
        <w:t>Об утверждении розничных цен на газ, реализуемый населению на территории Калужской области</w:t>
      </w:r>
      <w:r w:rsidR="00C14672"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– министерство) </w:t>
      </w:r>
      <w:r w:rsidR="00993E7F">
        <w:rPr>
          <w:rFonts w:ascii="Times New Roman" w:hAnsi="Times New Roman" w:cs="Times New Roman"/>
          <w:color w:val="000000"/>
          <w:sz w:val="24"/>
          <w:szCs w:val="24"/>
        </w:rPr>
        <w:t xml:space="preserve">ранее был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</w:t>
      </w:r>
      <w:r w:rsidRPr="003737EA">
        <w:rPr>
          <w:rFonts w:ascii="Times New Roman" w:hAnsi="Times New Roman" w:cs="Times New Roman"/>
          <w:sz w:val="24"/>
          <w:szCs w:val="24"/>
        </w:rPr>
        <w:t>расчет розничной цены на газ, реализуемого населению Калужской области с 01.07.2017.</w:t>
      </w:r>
    </w:p>
    <w:p w:rsidR="003737EA" w:rsidRPr="003737EA" w:rsidRDefault="003737EA" w:rsidP="003737EA">
      <w:pPr>
        <w:pStyle w:val="ac"/>
        <w:tabs>
          <w:tab w:val="left" w:pos="0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737EA">
        <w:rPr>
          <w:bCs/>
          <w:sz w:val="24"/>
          <w:szCs w:val="24"/>
        </w:rPr>
        <w:t xml:space="preserve">При проведении экспертизы </w:t>
      </w:r>
      <w:r w:rsidRPr="003737EA">
        <w:rPr>
          <w:sz w:val="24"/>
          <w:szCs w:val="24"/>
        </w:rPr>
        <w:t xml:space="preserve">по расчету розничных цен на газ, реализуемый населению на территории Калужской области с 01.07.2017, </w:t>
      </w:r>
      <w:r w:rsidRPr="003737EA">
        <w:rPr>
          <w:bCs/>
          <w:sz w:val="24"/>
          <w:szCs w:val="24"/>
        </w:rPr>
        <w:t xml:space="preserve">экспертная группа </w:t>
      </w:r>
      <w:r w:rsidR="005B2CC1">
        <w:rPr>
          <w:bCs/>
          <w:sz w:val="24"/>
          <w:szCs w:val="24"/>
        </w:rPr>
        <w:t>руководствовалась</w:t>
      </w:r>
      <w:r w:rsidRPr="003737EA">
        <w:rPr>
          <w:bCs/>
          <w:sz w:val="24"/>
          <w:szCs w:val="24"/>
        </w:rPr>
        <w:t xml:space="preserve"> следующи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нормативны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правовы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акт</w:t>
      </w:r>
      <w:r w:rsidR="005B2CC1">
        <w:rPr>
          <w:bCs/>
          <w:sz w:val="24"/>
          <w:szCs w:val="24"/>
        </w:rPr>
        <w:t>ами</w:t>
      </w:r>
      <w:r w:rsidRPr="003737EA">
        <w:rPr>
          <w:bCs/>
          <w:sz w:val="24"/>
          <w:szCs w:val="24"/>
        </w:rPr>
        <w:t>:</w:t>
      </w:r>
    </w:p>
    <w:p w:rsidR="003737EA" w:rsidRPr="003737EA" w:rsidRDefault="003737EA" w:rsidP="003737EA">
      <w:pPr>
        <w:spacing w:after="0" w:line="240" w:lineRule="auto"/>
        <w:ind w:right="4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- 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37EA">
        <w:rPr>
          <w:rFonts w:ascii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</w:t>
      </w:r>
      <w:r w:rsidR="00106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bCs/>
          <w:sz w:val="24"/>
          <w:szCs w:val="24"/>
        </w:rPr>
        <w:t>Методические указания № 252-э/2);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приказ ФАС России от 26.12.2016 № 1870/16 «Об утверждении оптовых цен на газ, добываемый ПАО «Газпром» и его аффилированными лицами, предназначенный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37EA">
        <w:rPr>
          <w:rFonts w:ascii="Times New Roman" w:hAnsi="Times New Roman" w:cs="Times New Roman"/>
          <w:sz w:val="24"/>
          <w:szCs w:val="24"/>
        </w:rPr>
        <w:t>для последующей реализации населению» (далее – Приказ ФАС России № 1870/16);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- приказ ФСТ России от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31.03.2015 № 63-э/8 «Об утверждении размера платы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за снабженческо–сбытовые услуги, оказываемые конечным потребителям газа, и тарифов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>на услуги по транспортировке газа по газораспределительным сетям на территории Калужской области»</w:t>
      </w:r>
      <w:r w:rsidRPr="003737EA">
        <w:rPr>
          <w:rFonts w:ascii="Times New Roman" w:hAnsi="Times New Roman" w:cs="Times New Roman"/>
          <w:sz w:val="24"/>
          <w:szCs w:val="24"/>
        </w:rPr>
        <w:t xml:space="preserve"> (далее – Приказ ФСТ России № </w:t>
      </w:r>
      <w:r w:rsidRPr="003737EA">
        <w:rPr>
          <w:rFonts w:ascii="Times New Roman" w:hAnsi="Times New Roman" w:cs="Times New Roman"/>
          <w:bCs/>
          <w:sz w:val="24"/>
          <w:szCs w:val="24"/>
        </w:rPr>
        <w:t>63-э/8</w:t>
      </w:r>
      <w:r w:rsidRPr="003737EA">
        <w:rPr>
          <w:rFonts w:ascii="Times New Roman" w:hAnsi="Times New Roman" w:cs="Times New Roman"/>
          <w:sz w:val="24"/>
          <w:szCs w:val="24"/>
        </w:rPr>
        <w:t>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размера платы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>за снабженческо–сбытовые услуги, оказываемые конечным потребителям газа ООО «Газпром межрегионгаз Калуга» на территории Калужской области»</w:t>
      </w:r>
      <w:r w:rsidRPr="003737EA">
        <w:rPr>
          <w:rFonts w:ascii="Times New Roman" w:hAnsi="Times New Roman" w:cs="Times New Roman"/>
          <w:sz w:val="24"/>
          <w:szCs w:val="24"/>
        </w:rPr>
        <w:t xml:space="preserve"> (далее – Приказ ФАС России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37EA">
        <w:rPr>
          <w:rFonts w:ascii="Times New Roman" w:hAnsi="Times New Roman" w:cs="Times New Roman"/>
          <w:sz w:val="24"/>
          <w:szCs w:val="24"/>
        </w:rPr>
        <w:t>№ 208/16);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 министерстве конкурентной политики Калужской области».</w:t>
      </w:r>
    </w:p>
    <w:p w:rsidR="0010642C" w:rsidRDefault="003737EA" w:rsidP="00106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Розничные цены на газ, реализуемый населению, устанавливаются дифференцированно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7EA">
        <w:rPr>
          <w:rFonts w:ascii="Times New Roman" w:hAnsi="Times New Roman" w:cs="Times New Roman"/>
          <w:sz w:val="24"/>
          <w:szCs w:val="24"/>
        </w:rPr>
        <w:t>по направлениям (наборам направлений) использования газа, определенных пунктом 5 Методических указаний № 252-э/2.</w:t>
      </w:r>
    </w:p>
    <w:p w:rsidR="003737EA" w:rsidRPr="0010642C" w:rsidRDefault="003737EA" w:rsidP="00106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Необходимость в пересмотре розничной цены на газ, реализуемый населению с 1 июля 2016 года, возникла в связи с пересмотром: </w:t>
      </w:r>
    </w:p>
    <w:p w:rsidR="0010642C" w:rsidRDefault="003737EA" w:rsidP="0010642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Оптовой цены на газ, реализуемый населению, утвержденной Приказом ФАС России </w:t>
      </w:r>
      <w:r w:rsidR="0010642C">
        <w:rPr>
          <w:rFonts w:ascii="Times New Roman" w:hAnsi="Times New Roman" w:cs="Times New Roman"/>
          <w:sz w:val="24"/>
          <w:szCs w:val="24"/>
        </w:rPr>
        <w:t xml:space="preserve">   </w:t>
      </w:r>
      <w:r w:rsidRPr="0010642C">
        <w:rPr>
          <w:rFonts w:ascii="Times New Roman" w:hAnsi="Times New Roman" w:cs="Times New Roman"/>
          <w:sz w:val="24"/>
          <w:szCs w:val="24"/>
        </w:rPr>
        <w:t xml:space="preserve">№ 1870/16.   </w:t>
      </w:r>
      <w:r w:rsidRPr="0010642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737EA" w:rsidRPr="0010642C" w:rsidRDefault="003737EA" w:rsidP="0010642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2C">
        <w:rPr>
          <w:rFonts w:ascii="Times New Roman" w:hAnsi="Times New Roman" w:cs="Times New Roman"/>
          <w:color w:val="000000"/>
          <w:sz w:val="24"/>
          <w:szCs w:val="24"/>
        </w:rPr>
        <w:t xml:space="preserve">Тарифов на транспортировку газа по газораспределительным сетям газораспределительных организаций Калужской области для группы потребителей «население», утвержденных Приказом ФСТ России № </w:t>
      </w:r>
      <w:r w:rsidRPr="0010642C">
        <w:rPr>
          <w:rFonts w:ascii="Times New Roman" w:hAnsi="Times New Roman" w:cs="Times New Roman"/>
          <w:bCs/>
          <w:color w:val="000000"/>
          <w:sz w:val="24"/>
          <w:szCs w:val="24"/>
        </w:rPr>
        <w:t>63-э/8</w:t>
      </w:r>
      <w:r w:rsidRPr="00106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Согласно представленному заявлению ООО «Газпром межрегионгаз Калуга» (далее </w:t>
      </w:r>
      <w:r w:rsidR="00106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37EA">
        <w:rPr>
          <w:rFonts w:ascii="Times New Roman" w:hAnsi="Times New Roman" w:cs="Times New Roman"/>
          <w:sz w:val="24"/>
          <w:szCs w:val="24"/>
        </w:rPr>
        <w:t xml:space="preserve">– организация) вх. № 03/1821-17 </w:t>
      </w:r>
      <w:r w:rsidR="0010642C">
        <w:rPr>
          <w:rFonts w:ascii="Times New Roman" w:hAnsi="Times New Roman" w:cs="Times New Roman"/>
          <w:sz w:val="24"/>
          <w:szCs w:val="24"/>
        </w:rPr>
        <w:t xml:space="preserve">от 25.05.2017 </w:t>
      </w:r>
      <w:r w:rsidRPr="003737EA">
        <w:rPr>
          <w:rFonts w:ascii="Times New Roman" w:hAnsi="Times New Roman" w:cs="Times New Roman"/>
          <w:sz w:val="24"/>
          <w:szCs w:val="24"/>
        </w:rPr>
        <w:t>и расчетам розничная цена на газ, реализуемый населению Калужской области, составит с 01.07.2017: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2"/>
        <w:gridCol w:w="1418"/>
        <w:gridCol w:w="1417"/>
        <w:gridCol w:w="851"/>
      </w:tblGrid>
      <w:tr w:rsidR="00407354" w:rsidRPr="0010642C" w:rsidTr="00A75381">
        <w:trPr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75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Розничная цена  на газ (с учетом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3737EA" w:rsidRPr="0010642C" w:rsidTr="00A75381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37EA" w:rsidRPr="0010642C" w:rsidTr="00A7538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131,16</w:t>
            </w:r>
          </w:p>
        </w:tc>
      </w:tr>
      <w:tr w:rsidR="003737EA" w:rsidRPr="0010642C" w:rsidTr="00A75381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131,16</w:t>
            </w:r>
          </w:p>
        </w:tc>
      </w:tr>
      <w:tr w:rsidR="003737EA" w:rsidRPr="0010642C" w:rsidTr="00A75381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121,27</w:t>
            </w:r>
          </w:p>
        </w:tc>
      </w:tr>
      <w:tr w:rsidR="003737EA" w:rsidRPr="0010642C" w:rsidTr="00A7538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</w:tr>
      <w:tr w:rsidR="003737EA" w:rsidRPr="0010642C" w:rsidTr="00A75381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</w:tr>
    </w:tbl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>от 06.06.2016 №</w:t>
      </w:r>
      <w:r w:rsidRPr="003737EA">
        <w:rPr>
          <w:rFonts w:ascii="Times New Roman" w:hAnsi="Times New Roman" w:cs="Times New Roman"/>
          <w:sz w:val="24"/>
          <w:szCs w:val="24"/>
        </w:rPr>
        <w:t xml:space="preserve"> 60-РК с 01.07.2016 в размере: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165"/>
        <w:gridCol w:w="1275"/>
        <w:gridCol w:w="2127"/>
      </w:tblGrid>
      <w:tr w:rsidR="00407354" w:rsidRPr="00A32169" w:rsidTr="00407354">
        <w:trPr>
          <w:trHeight w:val="4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Розничная цена на газ (с учетом НДС)</w:t>
            </w:r>
          </w:p>
        </w:tc>
      </w:tr>
      <w:tr w:rsidR="003737EA" w:rsidRPr="00A32169" w:rsidTr="00407354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37EA" w:rsidRPr="00A32169" w:rsidTr="00407354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5971,67</w:t>
            </w:r>
          </w:p>
        </w:tc>
      </w:tr>
      <w:tr w:rsidR="003737EA" w:rsidRPr="00A32169" w:rsidTr="00407354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5971,67</w:t>
            </w:r>
          </w:p>
        </w:tc>
      </w:tr>
    </w:tbl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 </w:t>
      </w:r>
      <w:r w:rsidRPr="003737EA">
        <w:rPr>
          <w:rFonts w:ascii="Times New Roman" w:hAnsi="Times New Roman" w:cs="Times New Roman"/>
          <w:sz w:val="24"/>
          <w:szCs w:val="24"/>
        </w:rPr>
        <w:t xml:space="preserve">розничные цены на газ утверждаются не менее чем на год одновременно с пересмотром регулируемых оптовых цен </w:t>
      </w:r>
      <w:r w:rsidR="00A321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37EA">
        <w:rPr>
          <w:rFonts w:ascii="Times New Roman" w:hAnsi="Times New Roman" w:cs="Times New Roman"/>
          <w:sz w:val="24"/>
          <w:szCs w:val="24"/>
        </w:rPr>
        <w:t>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:rsidR="003737EA" w:rsidRPr="003737EA" w:rsidRDefault="003737EA" w:rsidP="003737EA">
      <w:pPr>
        <w:pStyle w:val="ConsPlusNormal"/>
        <w:ind w:firstLine="709"/>
        <w:jc w:val="both"/>
        <w:rPr>
          <w:sz w:val="24"/>
          <w:szCs w:val="24"/>
        </w:rPr>
      </w:pPr>
      <w:r w:rsidRPr="00A32169">
        <w:rPr>
          <w:sz w:val="24"/>
          <w:szCs w:val="24"/>
        </w:rPr>
        <w:t>1. Оптовая цена</w:t>
      </w:r>
      <w:r w:rsidRPr="003737EA">
        <w:rPr>
          <w:sz w:val="24"/>
          <w:szCs w:val="24"/>
        </w:rPr>
        <w:t xml:space="preserve"> на газ, предназначенный для последующей реализации населению Калужской области,  с 01.07.2017 года составляет 3631 руб./1000м</w:t>
      </w:r>
      <w:r w:rsidRPr="003737EA">
        <w:rPr>
          <w:sz w:val="24"/>
          <w:szCs w:val="24"/>
          <w:vertAlign w:val="superscript"/>
        </w:rPr>
        <w:t>3</w:t>
      </w:r>
      <w:r w:rsidRPr="003737EA">
        <w:rPr>
          <w:sz w:val="24"/>
          <w:szCs w:val="24"/>
        </w:rPr>
        <w:t xml:space="preserve">. (без НДС) (Приказ ФАС России № 1870/16).   </w:t>
      </w:r>
    </w:p>
    <w:p w:rsidR="003737EA" w:rsidRPr="00A32169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32169">
        <w:rPr>
          <w:rFonts w:ascii="Times New Roman" w:hAnsi="Times New Roman" w:cs="Times New Roman"/>
          <w:sz w:val="24"/>
          <w:szCs w:val="24"/>
        </w:rPr>
        <w:t>Средняя региональная составляющая.</w:t>
      </w:r>
    </w:p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844"/>
        <w:gridCol w:w="1841"/>
        <w:gridCol w:w="2695"/>
        <w:gridCol w:w="1558"/>
      </w:tblGrid>
      <w:tr w:rsidR="003737EA" w:rsidRPr="00A32169" w:rsidTr="00A75381">
        <w:trPr>
          <w:trHeight w:val="960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транспортировки/ реализации, млн. куб.м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на транспортировку/плата за снабженческо-сбытовые услуги, руб./тыс. куб.м.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Стоимость, тыс. руб./тыс. куб.м.</w:t>
            </w: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Газораспределительные организации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1504,35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472365,90</w:t>
            </w: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«Малоярославецмежрайгаз»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1171,45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71820,43</w:t>
            </w: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АОрНП «Жуковмежрайгаз»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920,28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26942,12</w:t>
            </w:r>
          </w:p>
        </w:tc>
      </w:tr>
      <w:tr w:rsidR="003737EA" w:rsidRPr="00A32169" w:rsidTr="00A75381">
        <w:trPr>
          <w:trHeight w:val="6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11860,94</w:t>
            </w:r>
          </w:p>
        </w:tc>
      </w:tr>
      <w:tr w:rsidR="003737EA" w:rsidRPr="00A32169" w:rsidTr="00A75381">
        <w:trPr>
          <w:trHeight w:val="18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газа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7EA" w:rsidRPr="00A32169" w:rsidTr="00A75381">
        <w:trPr>
          <w:trHeight w:val="2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«Газпром межрегионгаз Калуга»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A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54" w:rsidRDefault="00407354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прогнозный </w:t>
      </w:r>
      <w:r w:rsidRPr="003737EA">
        <w:rPr>
          <w:rFonts w:ascii="Times New Roman" w:hAnsi="Times New Roman" w:cs="Times New Roman"/>
          <w:sz w:val="24"/>
          <w:szCs w:val="24"/>
        </w:rPr>
        <w:t xml:space="preserve">объем транспортировки газа, учтенный при установлении тарифов на транспортировку газа </w:t>
      </w:r>
      <w:r w:rsidR="00A32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7EA">
        <w:rPr>
          <w:rFonts w:ascii="Times New Roman" w:hAnsi="Times New Roman" w:cs="Times New Roman"/>
          <w:sz w:val="24"/>
          <w:szCs w:val="24"/>
        </w:rPr>
        <w:t>по газораспределительным сетям (письмо ФАС России вх. № АЛ-02/453-16</w:t>
      </w:r>
      <w:r w:rsidR="00A32169">
        <w:rPr>
          <w:rFonts w:ascii="Times New Roman" w:hAnsi="Times New Roman" w:cs="Times New Roman"/>
          <w:sz w:val="24"/>
          <w:szCs w:val="24"/>
        </w:rPr>
        <w:t xml:space="preserve"> </w:t>
      </w:r>
      <w:r w:rsidR="00A32169" w:rsidRPr="003737EA">
        <w:rPr>
          <w:rFonts w:ascii="Times New Roman" w:hAnsi="Times New Roman" w:cs="Times New Roman"/>
          <w:sz w:val="24"/>
          <w:szCs w:val="24"/>
        </w:rPr>
        <w:t>от 04.05.2016</w:t>
      </w:r>
      <w:r w:rsidRPr="003737EA">
        <w:rPr>
          <w:rFonts w:ascii="Times New Roman" w:hAnsi="Times New Roman" w:cs="Times New Roman"/>
          <w:sz w:val="24"/>
          <w:szCs w:val="24"/>
        </w:rPr>
        <w:t>). Тарифы на транспортировку газа по газораспределительным сетям газораспределительных организаций Калужской области установлены приказом ФСТ России № 63-э/8.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69">
        <w:rPr>
          <w:rFonts w:ascii="Times New Roman" w:hAnsi="Times New Roman" w:cs="Times New Roman"/>
          <w:color w:val="000000"/>
          <w:sz w:val="24"/>
          <w:szCs w:val="24"/>
        </w:rPr>
        <w:t>Прогнозный объем реализации газа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 на перио</w:t>
      </w:r>
      <w:r w:rsidR="00A32169">
        <w:rPr>
          <w:rFonts w:ascii="Times New Roman" w:hAnsi="Times New Roman" w:cs="Times New Roman"/>
          <w:color w:val="000000"/>
          <w:sz w:val="24"/>
          <w:szCs w:val="24"/>
        </w:rPr>
        <w:t xml:space="preserve">д регулирования в соответствии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с пунктом 18 Методических указаний </w:t>
      </w:r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</w:t>
      </w:r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«Газпром межрегионгаз Калуга» составляет </w:t>
      </w:r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445 млн. куб.м.</w:t>
      </w:r>
      <w:r w:rsidRPr="00373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>Размер платы за снабженческо-сбытовые услуги</w:t>
      </w:r>
      <w:r w:rsidRPr="003737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Приказом ФАС России № 208/16. 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В связи с тем, что общий объем реализации газа населению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>(445 млн. куб.м.)</w:t>
      </w:r>
      <w:r w:rsidRPr="003737EA">
        <w:rPr>
          <w:rFonts w:ascii="Times New Roman" w:hAnsi="Times New Roman" w:cs="Times New Roman"/>
          <w:sz w:val="24"/>
          <w:szCs w:val="24"/>
        </w:rPr>
        <w:t xml:space="preserve"> не совпадает </w:t>
      </w:r>
      <w:r w:rsidR="00A32169">
        <w:rPr>
          <w:rFonts w:ascii="Times New Roman" w:hAnsi="Times New Roman" w:cs="Times New Roman"/>
          <w:sz w:val="24"/>
          <w:szCs w:val="24"/>
        </w:rPr>
        <w:t xml:space="preserve">   </w:t>
      </w:r>
      <w:r w:rsidRPr="003737EA">
        <w:rPr>
          <w:rFonts w:ascii="Times New Roman" w:hAnsi="Times New Roman" w:cs="Times New Roman"/>
          <w:sz w:val="24"/>
          <w:szCs w:val="24"/>
        </w:rPr>
        <w:t>с суммарным объемом транспортировки газа населению через газораспределительные сети всех газораспределительных организаций (425,661 млн. куб.м.)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sz w:val="24"/>
          <w:szCs w:val="24"/>
        </w:rPr>
        <w:t xml:space="preserve">и газ населению на территории Калужской области поставляется одним поставщиком, для расчёта средней региональной составляющей розничной цены на газ используется формула, предусмотренная пунктом 17 Методических указаний </w:t>
      </w:r>
      <w:r w:rsidR="00A32169">
        <w:rPr>
          <w:rFonts w:ascii="Times New Roman" w:hAnsi="Times New Roman" w:cs="Times New Roman"/>
          <w:bCs/>
          <w:sz w:val="24"/>
          <w:szCs w:val="24"/>
        </w:rPr>
        <w:t xml:space="preserve">№ 252-э/2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и применяемая в данном случае</w:t>
      </w:r>
      <w:r w:rsidRPr="003737EA">
        <w:rPr>
          <w:rFonts w:ascii="Times New Roman" w:hAnsi="Times New Roman" w:cs="Times New Roman"/>
          <w:sz w:val="24"/>
          <w:szCs w:val="24"/>
        </w:rPr>
        <w:t>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Таким образом, средняя региональная составляющая составит 1624,72 руб.\ 1000 м</w:t>
      </w:r>
      <w:r w:rsidRPr="00373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37EA">
        <w:rPr>
          <w:rFonts w:ascii="Times New Roman" w:hAnsi="Times New Roman" w:cs="Times New Roman"/>
          <w:sz w:val="24"/>
          <w:szCs w:val="24"/>
        </w:rPr>
        <w:t>.</w:t>
      </w:r>
    </w:p>
    <w:p w:rsidR="003737EA" w:rsidRPr="00A32169" w:rsidRDefault="003737EA" w:rsidP="00A32169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sz w:val="24"/>
          <w:szCs w:val="24"/>
        </w:rPr>
        <w:t>Базовая региональная составляющая.</w:t>
      </w:r>
    </w:p>
    <w:p w:rsidR="003737EA" w:rsidRPr="003737EA" w:rsidRDefault="003737EA" w:rsidP="003737EA">
      <w:pPr>
        <w:spacing w:after="0" w:line="24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17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16"/>
        <w:gridCol w:w="1259"/>
        <w:gridCol w:w="1701"/>
      </w:tblGrid>
      <w:tr w:rsidR="003737EA" w:rsidRPr="00A32169" w:rsidTr="00407354">
        <w:trPr>
          <w:trHeight w:val="72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реализации, млн. 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 дифференциации</w:t>
            </w:r>
          </w:p>
        </w:tc>
      </w:tr>
      <w:tr w:rsidR="003737EA" w:rsidRPr="00A32169" w:rsidTr="00407354">
        <w:trPr>
          <w:trHeight w:val="48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7EA" w:rsidRPr="00A32169" w:rsidTr="00407354">
        <w:trPr>
          <w:trHeight w:val="72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7EA" w:rsidRPr="00A32169" w:rsidTr="00407354">
        <w:trPr>
          <w:trHeight w:val="725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7EA" w:rsidRPr="00A32169" w:rsidTr="00407354">
        <w:trPr>
          <w:trHeight w:val="120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407354" w:rsidRPr="00A32169" w:rsidTr="00407354">
        <w:trPr>
          <w:trHeight w:val="638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3737EA" w:rsidRPr="00A32169" w:rsidTr="00407354">
        <w:trPr>
          <w:trHeight w:val="21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263A" w:rsidRDefault="00B5263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Прогнозный объем реализации газа на период регулирования в разрезе направлений использования газа, предусмотренных пунктом 5 Методических указаний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252-э/2,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ООО «Газпром межрегионгаз Калуга». Коэффициенты дифференциации розничной цены на газ для различных направлений (наборов направлений) использования газа определены </w:t>
      </w:r>
      <w:r w:rsidR="00A3216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приложением  к  </w:t>
      </w:r>
      <w:r w:rsidRPr="003737EA">
        <w:rPr>
          <w:rFonts w:ascii="Times New Roman" w:hAnsi="Times New Roman" w:cs="Times New Roman"/>
          <w:sz w:val="24"/>
          <w:szCs w:val="24"/>
        </w:rPr>
        <w:t xml:space="preserve">Методическим указаниям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252-э/2. 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Базовая региональная составляющая рассчитана согласно пункту 24 Методических указаний  </w:t>
      </w:r>
      <w:r w:rsidRPr="003737EA">
        <w:rPr>
          <w:rFonts w:ascii="Times New Roman" w:hAnsi="Times New Roman" w:cs="Times New Roman"/>
          <w:bCs/>
          <w:sz w:val="24"/>
          <w:szCs w:val="24"/>
        </w:rPr>
        <w:t>№ 252-э/2 и составляет 497,62 руб./тыс. куб. м.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sz w:val="24"/>
          <w:szCs w:val="24"/>
        </w:rPr>
        <w:t>По расчету экспертной группы</w:t>
      </w:r>
      <w:r w:rsidRPr="003737EA">
        <w:rPr>
          <w:rFonts w:ascii="Times New Roman" w:hAnsi="Times New Roman" w:cs="Times New Roman"/>
          <w:sz w:val="24"/>
          <w:szCs w:val="24"/>
        </w:rPr>
        <w:t xml:space="preserve"> р</w:t>
      </w:r>
      <w:r w:rsidRPr="003737EA">
        <w:rPr>
          <w:rFonts w:ascii="Times New Roman" w:hAnsi="Times New Roman" w:cs="Times New Roman"/>
          <w:bCs/>
          <w:sz w:val="24"/>
          <w:szCs w:val="24"/>
        </w:rPr>
        <w:t>озничная цена на газ, реализуемый населению Калужской области,</w:t>
      </w:r>
      <w:r w:rsidRPr="003737EA">
        <w:rPr>
          <w:rFonts w:ascii="Times New Roman" w:hAnsi="Times New Roman" w:cs="Times New Roman"/>
          <w:sz w:val="24"/>
          <w:szCs w:val="24"/>
        </w:rPr>
        <w:t xml:space="preserve"> по направлениям использования газа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sz w:val="24"/>
          <w:szCs w:val="24"/>
        </w:rPr>
        <w:t>с 01.07.2017 года составит: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804"/>
        <w:gridCol w:w="1418"/>
        <w:gridCol w:w="1417"/>
        <w:gridCol w:w="928"/>
      </w:tblGrid>
      <w:tr w:rsidR="00407354" w:rsidRPr="00A32169" w:rsidTr="00407354">
        <w:trPr>
          <w:trHeight w:val="70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Розничная цена на газ (с учетом НДС)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3737EA" w:rsidRPr="00A32169" w:rsidTr="00407354">
        <w:trPr>
          <w:trHeight w:val="2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37EA" w:rsidRPr="00A32169" w:rsidTr="00407354">
        <w:trPr>
          <w:trHeight w:val="4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130,82</w:t>
            </w:r>
          </w:p>
        </w:tc>
      </w:tr>
      <w:tr w:rsidR="003737EA" w:rsidRPr="00A32169" w:rsidTr="00407354">
        <w:trPr>
          <w:trHeight w:val="7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130,82</w:t>
            </w:r>
          </w:p>
        </w:tc>
      </w:tr>
      <w:tr w:rsidR="003737EA" w:rsidRPr="00A32169" w:rsidTr="00407354">
        <w:trPr>
          <w:trHeight w:val="9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120,94</w:t>
            </w:r>
          </w:p>
        </w:tc>
      </w:tr>
      <w:tr w:rsidR="003737EA" w:rsidRPr="00A32169" w:rsidTr="00407354">
        <w:trPr>
          <w:trHeight w:val="12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5752,55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</w:tr>
      <w:tr w:rsidR="003737EA" w:rsidRPr="00A32169" w:rsidTr="00407354">
        <w:trPr>
          <w:trHeight w:val="9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руб./1000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5752,55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</w:tr>
    </w:tbl>
    <w:p w:rsidR="00B5263A" w:rsidRDefault="00B5263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Экспертная оценка по установлению розничной цены на газ, реализуемый населению Калужской области с 01.07.201</w:t>
      </w:r>
      <w:r w:rsidR="001E6311">
        <w:rPr>
          <w:rFonts w:ascii="Times New Roman" w:hAnsi="Times New Roman" w:cs="Times New Roman"/>
          <w:sz w:val="24"/>
          <w:szCs w:val="24"/>
        </w:rPr>
        <w:t>7</w:t>
      </w:r>
      <w:r w:rsidRPr="003737EA">
        <w:rPr>
          <w:rFonts w:ascii="Times New Roman" w:hAnsi="Times New Roman" w:cs="Times New Roman"/>
          <w:sz w:val="24"/>
          <w:szCs w:val="24"/>
        </w:rPr>
        <w:t>, изложена в эксп</w:t>
      </w:r>
      <w:r w:rsidR="00395B4C">
        <w:rPr>
          <w:rFonts w:ascii="Times New Roman" w:hAnsi="Times New Roman" w:cs="Times New Roman"/>
          <w:sz w:val="24"/>
          <w:szCs w:val="24"/>
        </w:rPr>
        <w:t xml:space="preserve">ертном заключении и приложении </w:t>
      </w:r>
      <w:r w:rsidRPr="003737EA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3737EA" w:rsidRPr="003737EA" w:rsidRDefault="00395B4C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7EA" w:rsidRPr="003737E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261204">
        <w:rPr>
          <w:rFonts w:ascii="Times New Roman" w:hAnsi="Times New Roman" w:cs="Times New Roman"/>
          <w:sz w:val="24"/>
          <w:szCs w:val="24"/>
        </w:rPr>
        <w:t xml:space="preserve">предлагалось </w:t>
      </w:r>
      <w:r w:rsidR="003737EA" w:rsidRPr="003737EA">
        <w:rPr>
          <w:rFonts w:ascii="Times New Roman" w:hAnsi="Times New Roman" w:cs="Times New Roman"/>
          <w:sz w:val="24"/>
          <w:szCs w:val="24"/>
        </w:rPr>
        <w:t>установить вышеуказанные цены на газ, реализуемый населению Калужской области с 01.07.201</w:t>
      </w:r>
      <w:r w:rsidR="001E6311">
        <w:rPr>
          <w:rFonts w:ascii="Times New Roman" w:hAnsi="Times New Roman" w:cs="Times New Roman"/>
          <w:sz w:val="24"/>
          <w:szCs w:val="24"/>
        </w:rPr>
        <w:t>7</w:t>
      </w:r>
      <w:r w:rsidR="00261204">
        <w:rPr>
          <w:rFonts w:ascii="Times New Roman" w:hAnsi="Times New Roman" w:cs="Times New Roman"/>
          <w:sz w:val="24"/>
          <w:szCs w:val="24"/>
        </w:rPr>
        <w:t xml:space="preserve"> на заседании комиссии по тарифам и ценам </w:t>
      </w:r>
      <w:r w:rsidR="003737EA" w:rsidRPr="003737EA">
        <w:rPr>
          <w:rFonts w:ascii="Times New Roman" w:hAnsi="Times New Roman" w:cs="Times New Roman"/>
          <w:sz w:val="24"/>
          <w:szCs w:val="24"/>
        </w:rPr>
        <w:t xml:space="preserve"> </w:t>
      </w:r>
      <w:r w:rsidR="00261204">
        <w:rPr>
          <w:rFonts w:ascii="Times New Roman" w:hAnsi="Times New Roman" w:cs="Times New Roman"/>
          <w:sz w:val="24"/>
          <w:szCs w:val="24"/>
        </w:rPr>
        <w:t xml:space="preserve">29.05.2017, однако по причине </w:t>
      </w:r>
      <w:r w:rsidR="00261204" w:rsidRPr="00261204">
        <w:rPr>
          <w:rFonts w:ascii="Times New Roman" w:hAnsi="Times New Roman" w:cs="Times New Roman"/>
          <w:sz w:val="24"/>
          <w:szCs w:val="24"/>
        </w:rPr>
        <w:t>отсут</w:t>
      </w:r>
      <w:r w:rsidR="00261204">
        <w:rPr>
          <w:rFonts w:ascii="Times New Roman" w:hAnsi="Times New Roman" w:cs="Times New Roman"/>
          <w:sz w:val="24"/>
          <w:szCs w:val="24"/>
        </w:rPr>
        <w:t xml:space="preserve">ствия утвержденного ФАС России </w:t>
      </w:r>
      <w:r w:rsidR="00261204" w:rsidRPr="00261204">
        <w:rPr>
          <w:rFonts w:ascii="Times New Roman" w:hAnsi="Times New Roman" w:cs="Times New Roman"/>
          <w:sz w:val="24"/>
          <w:szCs w:val="24"/>
        </w:rPr>
        <w:t>размера платы на снабженческо-сбытовые услуги</w:t>
      </w:r>
      <w:r w:rsidR="00261204">
        <w:rPr>
          <w:rFonts w:ascii="Times New Roman" w:hAnsi="Times New Roman" w:cs="Times New Roman"/>
          <w:sz w:val="24"/>
          <w:szCs w:val="24"/>
        </w:rPr>
        <w:t xml:space="preserve"> вопрос был перенесен на заседание комиссии по тарифам и ценам на 08.06.2017 года.</w:t>
      </w:r>
    </w:p>
    <w:p w:rsidR="00B5263A" w:rsidRDefault="00B5263A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B8A" w:rsidRDefault="002B4B8A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8A"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93E7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737EA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  <w:r w:rsidR="00993E7F">
        <w:rPr>
          <w:rFonts w:ascii="Times New Roman" w:eastAsia="Times New Roman" w:hAnsi="Times New Roman" w:cs="Times New Roman"/>
          <w:b/>
          <w:sz w:val="24"/>
          <w:szCs w:val="24"/>
        </w:rPr>
        <w:t>, Д.Ю. Лаврентьев</w:t>
      </w:r>
    </w:p>
    <w:p w:rsidR="00993E7F" w:rsidRPr="002B4B8A" w:rsidRDefault="00993E7F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F98" w:rsidRDefault="006371AB" w:rsidP="00993E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>при установлении розничной цены на газ</w:t>
      </w:r>
      <w:r w:rsidR="002B0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 xml:space="preserve"> реализуемый населению Калужской области, необходимо учитывать утверждаемый ФАС России размер платы на </w:t>
      </w:r>
      <w:r>
        <w:rPr>
          <w:rFonts w:ascii="Times New Roman" w:eastAsia="Times New Roman" w:hAnsi="Times New Roman" w:cs="Times New Roman"/>
          <w:sz w:val="24"/>
          <w:szCs w:val="24"/>
        </w:rPr>
        <w:t>снабженческо-сбытовые услуги</w:t>
      </w:r>
      <w:r w:rsidR="002B0F9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11463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08.06.2017 размер платы на регулируемый период не </w:t>
      </w:r>
      <w:r w:rsidR="002B0F98">
        <w:rPr>
          <w:rFonts w:ascii="Times New Roman" w:eastAsia="Times New Roman" w:hAnsi="Times New Roman" w:cs="Times New Roman"/>
          <w:sz w:val="24"/>
          <w:szCs w:val="24"/>
        </w:rPr>
        <w:t xml:space="preserve">пересмотрен,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A6D06">
        <w:rPr>
          <w:rFonts w:ascii="Times New Roman" w:eastAsia="Times New Roman" w:hAnsi="Times New Roman" w:cs="Times New Roman"/>
          <w:sz w:val="24"/>
          <w:szCs w:val="24"/>
        </w:rPr>
        <w:t>едлагается пере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 xml:space="preserve">нести рассмотрение вопроса на максимально </w:t>
      </w:r>
      <w:r w:rsidR="00971CAE">
        <w:rPr>
          <w:rFonts w:ascii="Times New Roman" w:eastAsia="Times New Roman" w:hAnsi="Times New Roman" w:cs="Times New Roman"/>
          <w:sz w:val="24"/>
          <w:szCs w:val="24"/>
        </w:rPr>
        <w:t xml:space="preserve">возможный </w:t>
      </w:r>
      <w:r w:rsidR="001E6311">
        <w:rPr>
          <w:rFonts w:ascii="Times New Roman" w:eastAsia="Times New Roman" w:hAnsi="Times New Roman" w:cs="Times New Roman"/>
          <w:sz w:val="24"/>
          <w:szCs w:val="24"/>
        </w:rPr>
        <w:t xml:space="preserve">поздний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срок.</w:t>
      </w:r>
      <w:r w:rsidR="002B0F98">
        <w:rPr>
          <w:rFonts w:ascii="Times New Roman" w:eastAsia="Times New Roman" w:hAnsi="Times New Roman" w:cs="Times New Roman"/>
          <w:sz w:val="24"/>
          <w:szCs w:val="24"/>
        </w:rPr>
        <w:t xml:space="preserve"> До рассмотрения данного вопроса на следующем заседании комиссии предлагается получить официальную информацию от ФАС России по пересмотру указанного размера платы.</w:t>
      </w:r>
    </w:p>
    <w:p w:rsidR="004A6D06" w:rsidRDefault="004A6D06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32D2C" w:rsidRDefault="00332D2C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 xml:space="preserve">еренести рассмотрение вопроса по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существу на заседание комиссии </w:t>
      </w:r>
      <w:r w:rsidR="004A6D06">
        <w:rPr>
          <w:rFonts w:ascii="Times New Roman" w:eastAsia="Times New Roman" w:hAnsi="Times New Roman" w:cs="Times New Roman"/>
          <w:sz w:val="24"/>
          <w:szCs w:val="26"/>
        </w:rPr>
        <w:t xml:space="preserve">по тарифам и ценам </w:t>
      </w:r>
      <w:r w:rsidR="00EC41A2">
        <w:rPr>
          <w:rFonts w:ascii="Times New Roman" w:eastAsia="Times New Roman" w:hAnsi="Times New Roman" w:cs="Times New Roman"/>
          <w:sz w:val="24"/>
          <w:szCs w:val="26"/>
        </w:rPr>
        <w:t>14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.0</w:t>
      </w:r>
      <w:r>
        <w:rPr>
          <w:rFonts w:ascii="Times New Roman" w:eastAsia="Times New Roman" w:hAnsi="Times New Roman" w:cs="Times New Roman"/>
          <w:sz w:val="24"/>
          <w:szCs w:val="26"/>
        </w:rPr>
        <w:t>6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.2017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, известив заинтересованных лиц о </w:t>
      </w:r>
      <w:r w:rsidR="005D4B8A">
        <w:rPr>
          <w:rFonts w:ascii="Times New Roman" w:eastAsia="Times New Roman" w:hAnsi="Times New Roman" w:cs="Times New Roman"/>
          <w:sz w:val="24"/>
          <w:szCs w:val="26"/>
        </w:rPr>
        <w:t>времени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и месте дополнительно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14672" w:rsidRPr="00F872E5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</w:t>
      </w:r>
      <w:r w:rsidR="00332D2C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единогласно.</w:t>
      </w:r>
    </w:p>
    <w:p w:rsidR="00B5263A" w:rsidRDefault="00B5263A" w:rsidP="0011463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97F" w:rsidRDefault="0091697F" w:rsidP="0011463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1B0" w:rsidRDefault="007B187F" w:rsidP="003F47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ены комиссии по тарифам и ценам:</w:t>
      </w:r>
    </w:p>
    <w:p w:rsidR="00AB41B0" w:rsidRPr="00A24063" w:rsidRDefault="00AB41B0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Pr="00A24063" w:rsidRDefault="004F6F7D" w:rsidP="004F6F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4F6F7D" w:rsidRPr="00A24063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F2" w:rsidRDefault="003F47F2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3F47F2">
      <w:pPr>
        <w:tabs>
          <w:tab w:val="left" w:pos="720"/>
          <w:tab w:val="left" w:pos="1418"/>
        </w:tabs>
        <w:spacing w:after="0" w:line="240" w:lineRule="auto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Н.С. Алексашкина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8" w:rsidRDefault="00D90F78" w:rsidP="00385DEB">
      <w:pPr>
        <w:spacing w:after="0" w:line="240" w:lineRule="auto"/>
      </w:pPr>
      <w:r>
        <w:separator/>
      </w:r>
    </w:p>
  </w:endnote>
  <w:endnote w:type="continuationSeparator" w:id="0">
    <w:p w:rsidR="00D90F78" w:rsidRDefault="00D90F7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C8D">
      <w:rPr>
        <w:noProof/>
      </w:rPr>
      <w:t>1</w:t>
    </w:r>
    <w:r>
      <w:fldChar w:fldCharType="end"/>
    </w:r>
  </w:p>
  <w:p w:rsidR="004A6D06" w:rsidRDefault="004A6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</w:pPr>
  </w:p>
  <w:p w:rsidR="004A6D06" w:rsidRDefault="004A6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8" w:rsidRDefault="00D90F78" w:rsidP="00385DEB">
      <w:pPr>
        <w:spacing w:after="0" w:line="240" w:lineRule="auto"/>
      </w:pPr>
      <w:r>
        <w:separator/>
      </w:r>
    </w:p>
  </w:footnote>
  <w:footnote w:type="continuationSeparator" w:id="0">
    <w:p w:rsidR="00D90F78" w:rsidRDefault="00D90F7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1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5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4A8"/>
    <w:rsid w:val="000165F1"/>
    <w:rsid w:val="00017BB0"/>
    <w:rsid w:val="00025F37"/>
    <w:rsid w:val="00030BBD"/>
    <w:rsid w:val="00031F7A"/>
    <w:rsid w:val="00041E6D"/>
    <w:rsid w:val="00042F3F"/>
    <w:rsid w:val="00043641"/>
    <w:rsid w:val="000447E7"/>
    <w:rsid w:val="00047DDC"/>
    <w:rsid w:val="00053FB4"/>
    <w:rsid w:val="00061FCF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1944"/>
    <w:rsid w:val="000A4258"/>
    <w:rsid w:val="000A5EDE"/>
    <w:rsid w:val="000A7DAF"/>
    <w:rsid w:val="000B3973"/>
    <w:rsid w:val="000B39BC"/>
    <w:rsid w:val="000B3C52"/>
    <w:rsid w:val="000B5A02"/>
    <w:rsid w:val="000B6F12"/>
    <w:rsid w:val="000D3656"/>
    <w:rsid w:val="000D3ECA"/>
    <w:rsid w:val="000E1687"/>
    <w:rsid w:val="000F4633"/>
    <w:rsid w:val="0010642C"/>
    <w:rsid w:val="00113545"/>
    <w:rsid w:val="00114637"/>
    <w:rsid w:val="00120392"/>
    <w:rsid w:val="00120EE1"/>
    <w:rsid w:val="001211E4"/>
    <w:rsid w:val="00123CD6"/>
    <w:rsid w:val="001262A0"/>
    <w:rsid w:val="001338B6"/>
    <w:rsid w:val="001353E3"/>
    <w:rsid w:val="00135537"/>
    <w:rsid w:val="00141E33"/>
    <w:rsid w:val="001469C4"/>
    <w:rsid w:val="001471B3"/>
    <w:rsid w:val="001502F3"/>
    <w:rsid w:val="001530D6"/>
    <w:rsid w:val="001570A6"/>
    <w:rsid w:val="00164CE8"/>
    <w:rsid w:val="00170191"/>
    <w:rsid w:val="001730F6"/>
    <w:rsid w:val="0017369F"/>
    <w:rsid w:val="00182D9D"/>
    <w:rsid w:val="0019463C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1E6311"/>
    <w:rsid w:val="001E710E"/>
    <w:rsid w:val="001F30A7"/>
    <w:rsid w:val="00205DC4"/>
    <w:rsid w:val="00234DBB"/>
    <w:rsid w:val="0023567C"/>
    <w:rsid w:val="00240093"/>
    <w:rsid w:val="0024054E"/>
    <w:rsid w:val="002406BD"/>
    <w:rsid w:val="00255D2A"/>
    <w:rsid w:val="00257F0D"/>
    <w:rsid w:val="00261204"/>
    <w:rsid w:val="0026223E"/>
    <w:rsid w:val="00263A87"/>
    <w:rsid w:val="00270221"/>
    <w:rsid w:val="00275DB4"/>
    <w:rsid w:val="00277BA9"/>
    <w:rsid w:val="00281DA4"/>
    <w:rsid w:val="002853F8"/>
    <w:rsid w:val="002862B1"/>
    <w:rsid w:val="002910F1"/>
    <w:rsid w:val="00297AF6"/>
    <w:rsid w:val="002A2F41"/>
    <w:rsid w:val="002A4A8B"/>
    <w:rsid w:val="002A75E4"/>
    <w:rsid w:val="002A7AF4"/>
    <w:rsid w:val="002B0CA6"/>
    <w:rsid w:val="002B0F98"/>
    <w:rsid w:val="002B29D7"/>
    <w:rsid w:val="002B42F9"/>
    <w:rsid w:val="002B4B8A"/>
    <w:rsid w:val="002D1845"/>
    <w:rsid w:val="002E23D5"/>
    <w:rsid w:val="002F12A3"/>
    <w:rsid w:val="00316D14"/>
    <w:rsid w:val="003212E2"/>
    <w:rsid w:val="00322337"/>
    <w:rsid w:val="00332D2C"/>
    <w:rsid w:val="0033317F"/>
    <w:rsid w:val="00336C18"/>
    <w:rsid w:val="00341D33"/>
    <w:rsid w:val="00341EB2"/>
    <w:rsid w:val="0035186A"/>
    <w:rsid w:val="00353DF6"/>
    <w:rsid w:val="0035542C"/>
    <w:rsid w:val="00360EED"/>
    <w:rsid w:val="00361ABC"/>
    <w:rsid w:val="00362504"/>
    <w:rsid w:val="00363483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5B4C"/>
    <w:rsid w:val="0039656C"/>
    <w:rsid w:val="0039702D"/>
    <w:rsid w:val="003970F0"/>
    <w:rsid w:val="003A4625"/>
    <w:rsid w:val="003A52F0"/>
    <w:rsid w:val="003A5F05"/>
    <w:rsid w:val="003C6452"/>
    <w:rsid w:val="003C7BAF"/>
    <w:rsid w:val="003D13AB"/>
    <w:rsid w:val="003D2D66"/>
    <w:rsid w:val="003D324B"/>
    <w:rsid w:val="003D6188"/>
    <w:rsid w:val="003E0070"/>
    <w:rsid w:val="003E4A6E"/>
    <w:rsid w:val="003E50B5"/>
    <w:rsid w:val="003F47F2"/>
    <w:rsid w:val="004050A3"/>
    <w:rsid w:val="00407354"/>
    <w:rsid w:val="00414EE8"/>
    <w:rsid w:val="00437A67"/>
    <w:rsid w:val="0044003C"/>
    <w:rsid w:val="00442FB8"/>
    <w:rsid w:val="004464D7"/>
    <w:rsid w:val="00453337"/>
    <w:rsid w:val="00454DC6"/>
    <w:rsid w:val="00456DCE"/>
    <w:rsid w:val="0046290A"/>
    <w:rsid w:val="00462F71"/>
    <w:rsid w:val="00485263"/>
    <w:rsid w:val="004853C6"/>
    <w:rsid w:val="00487C42"/>
    <w:rsid w:val="00490032"/>
    <w:rsid w:val="00496AD2"/>
    <w:rsid w:val="00497B85"/>
    <w:rsid w:val="004A40CC"/>
    <w:rsid w:val="004A5D4A"/>
    <w:rsid w:val="004A6D06"/>
    <w:rsid w:val="004B1117"/>
    <w:rsid w:val="004B426D"/>
    <w:rsid w:val="004C33C2"/>
    <w:rsid w:val="004C5F45"/>
    <w:rsid w:val="004C64A5"/>
    <w:rsid w:val="004C6EC6"/>
    <w:rsid w:val="004E182C"/>
    <w:rsid w:val="004E30B1"/>
    <w:rsid w:val="004E42DD"/>
    <w:rsid w:val="004E4AEF"/>
    <w:rsid w:val="004E4FE2"/>
    <w:rsid w:val="004E7722"/>
    <w:rsid w:val="004F5E42"/>
    <w:rsid w:val="004F6F7D"/>
    <w:rsid w:val="004F703D"/>
    <w:rsid w:val="00512F13"/>
    <w:rsid w:val="00524F68"/>
    <w:rsid w:val="00525DEE"/>
    <w:rsid w:val="0052687C"/>
    <w:rsid w:val="005342BC"/>
    <w:rsid w:val="0053474A"/>
    <w:rsid w:val="0053572C"/>
    <w:rsid w:val="00537B8C"/>
    <w:rsid w:val="005419EB"/>
    <w:rsid w:val="00563FD8"/>
    <w:rsid w:val="00567667"/>
    <w:rsid w:val="005709B6"/>
    <w:rsid w:val="00572E7F"/>
    <w:rsid w:val="005765FA"/>
    <w:rsid w:val="00580374"/>
    <w:rsid w:val="0058363B"/>
    <w:rsid w:val="005843EC"/>
    <w:rsid w:val="00590EFC"/>
    <w:rsid w:val="00596630"/>
    <w:rsid w:val="005967E8"/>
    <w:rsid w:val="005B0ACC"/>
    <w:rsid w:val="005B2CC1"/>
    <w:rsid w:val="005C22D0"/>
    <w:rsid w:val="005C49E2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F0D29"/>
    <w:rsid w:val="005F48EF"/>
    <w:rsid w:val="005F4ABE"/>
    <w:rsid w:val="005F54C0"/>
    <w:rsid w:val="00604106"/>
    <w:rsid w:val="00611480"/>
    <w:rsid w:val="00616FB7"/>
    <w:rsid w:val="00622C17"/>
    <w:rsid w:val="00623CE8"/>
    <w:rsid w:val="0062553A"/>
    <w:rsid w:val="00626017"/>
    <w:rsid w:val="0062662E"/>
    <w:rsid w:val="006320A0"/>
    <w:rsid w:val="00632778"/>
    <w:rsid w:val="00634FBA"/>
    <w:rsid w:val="006365DC"/>
    <w:rsid w:val="006371AB"/>
    <w:rsid w:val="006379E0"/>
    <w:rsid w:val="00640271"/>
    <w:rsid w:val="006567E0"/>
    <w:rsid w:val="0066081A"/>
    <w:rsid w:val="006640F6"/>
    <w:rsid w:val="00672335"/>
    <w:rsid w:val="00672B0C"/>
    <w:rsid w:val="0067385A"/>
    <w:rsid w:val="006775EA"/>
    <w:rsid w:val="006840C8"/>
    <w:rsid w:val="00687FCA"/>
    <w:rsid w:val="00690663"/>
    <w:rsid w:val="00691F95"/>
    <w:rsid w:val="00695A94"/>
    <w:rsid w:val="00696FC3"/>
    <w:rsid w:val="006A53E8"/>
    <w:rsid w:val="006A6F52"/>
    <w:rsid w:val="006B18F3"/>
    <w:rsid w:val="006B470C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704A36"/>
    <w:rsid w:val="007158AB"/>
    <w:rsid w:val="00720B91"/>
    <w:rsid w:val="00723412"/>
    <w:rsid w:val="00723C65"/>
    <w:rsid w:val="007363DA"/>
    <w:rsid w:val="00737912"/>
    <w:rsid w:val="007404DB"/>
    <w:rsid w:val="00741BDC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94C8D"/>
    <w:rsid w:val="007A1234"/>
    <w:rsid w:val="007A3325"/>
    <w:rsid w:val="007B06A1"/>
    <w:rsid w:val="007B187F"/>
    <w:rsid w:val="007B69FE"/>
    <w:rsid w:val="007C0E4E"/>
    <w:rsid w:val="007C36A1"/>
    <w:rsid w:val="007C4871"/>
    <w:rsid w:val="007C6707"/>
    <w:rsid w:val="007C7FBA"/>
    <w:rsid w:val="007D0664"/>
    <w:rsid w:val="007D674E"/>
    <w:rsid w:val="007E1914"/>
    <w:rsid w:val="007E3732"/>
    <w:rsid w:val="007E6702"/>
    <w:rsid w:val="00801169"/>
    <w:rsid w:val="0080172B"/>
    <w:rsid w:val="00803707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ABE"/>
    <w:rsid w:val="00861E85"/>
    <w:rsid w:val="0086799F"/>
    <w:rsid w:val="008803A8"/>
    <w:rsid w:val="00883E52"/>
    <w:rsid w:val="0089000F"/>
    <w:rsid w:val="008B0DC3"/>
    <w:rsid w:val="008B2217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0563"/>
    <w:rsid w:val="00911DBB"/>
    <w:rsid w:val="00915032"/>
    <w:rsid w:val="0091697F"/>
    <w:rsid w:val="00917B9B"/>
    <w:rsid w:val="00920FBC"/>
    <w:rsid w:val="00922CBC"/>
    <w:rsid w:val="009243B9"/>
    <w:rsid w:val="0092578D"/>
    <w:rsid w:val="0092661F"/>
    <w:rsid w:val="00926A41"/>
    <w:rsid w:val="00927C6B"/>
    <w:rsid w:val="00941A4C"/>
    <w:rsid w:val="00947DB5"/>
    <w:rsid w:val="00950279"/>
    <w:rsid w:val="00961EBF"/>
    <w:rsid w:val="00963740"/>
    <w:rsid w:val="00971CAE"/>
    <w:rsid w:val="00972F15"/>
    <w:rsid w:val="00973A10"/>
    <w:rsid w:val="00974FE0"/>
    <w:rsid w:val="00987174"/>
    <w:rsid w:val="00987638"/>
    <w:rsid w:val="00987E07"/>
    <w:rsid w:val="009917EB"/>
    <w:rsid w:val="009925BD"/>
    <w:rsid w:val="00993E7F"/>
    <w:rsid w:val="009A1DC2"/>
    <w:rsid w:val="009B02F7"/>
    <w:rsid w:val="009B2922"/>
    <w:rsid w:val="009B4933"/>
    <w:rsid w:val="009C2702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444E7"/>
    <w:rsid w:val="00A47DF0"/>
    <w:rsid w:val="00A61462"/>
    <w:rsid w:val="00A62DA3"/>
    <w:rsid w:val="00A65E61"/>
    <w:rsid w:val="00A71E7C"/>
    <w:rsid w:val="00A75381"/>
    <w:rsid w:val="00A7798D"/>
    <w:rsid w:val="00A77D09"/>
    <w:rsid w:val="00A84A22"/>
    <w:rsid w:val="00A87D6C"/>
    <w:rsid w:val="00AA2159"/>
    <w:rsid w:val="00AA4BE1"/>
    <w:rsid w:val="00AA66A7"/>
    <w:rsid w:val="00AA77D6"/>
    <w:rsid w:val="00AB193F"/>
    <w:rsid w:val="00AB41B0"/>
    <w:rsid w:val="00AC66FB"/>
    <w:rsid w:val="00AD776A"/>
    <w:rsid w:val="00AE0530"/>
    <w:rsid w:val="00B02467"/>
    <w:rsid w:val="00B10D93"/>
    <w:rsid w:val="00B169CA"/>
    <w:rsid w:val="00B1717A"/>
    <w:rsid w:val="00B2039D"/>
    <w:rsid w:val="00B22C04"/>
    <w:rsid w:val="00B2666E"/>
    <w:rsid w:val="00B278AE"/>
    <w:rsid w:val="00B300AF"/>
    <w:rsid w:val="00B32C3F"/>
    <w:rsid w:val="00B40C63"/>
    <w:rsid w:val="00B51B3E"/>
    <w:rsid w:val="00B5263A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B0436"/>
    <w:rsid w:val="00BB3F8C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E42BD"/>
    <w:rsid w:val="00BF0773"/>
    <w:rsid w:val="00BF3FFA"/>
    <w:rsid w:val="00BF60B3"/>
    <w:rsid w:val="00BF6C6D"/>
    <w:rsid w:val="00BF7D51"/>
    <w:rsid w:val="00C01C6C"/>
    <w:rsid w:val="00C03079"/>
    <w:rsid w:val="00C03BB8"/>
    <w:rsid w:val="00C057C4"/>
    <w:rsid w:val="00C13A0F"/>
    <w:rsid w:val="00C14672"/>
    <w:rsid w:val="00C150C2"/>
    <w:rsid w:val="00C2520A"/>
    <w:rsid w:val="00C26C19"/>
    <w:rsid w:val="00C32278"/>
    <w:rsid w:val="00C410FD"/>
    <w:rsid w:val="00C41298"/>
    <w:rsid w:val="00C42138"/>
    <w:rsid w:val="00C50084"/>
    <w:rsid w:val="00C56B4A"/>
    <w:rsid w:val="00C643DD"/>
    <w:rsid w:val="00C83D93"/>
    <w:rsid w:val="00C9204E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F5A86"/>
    <w:rsid w:val="00D004A6"/>
    <w:rsid w:val="00D4002C"/>
    <w:rsid w:val="00D43BA2"/>
    <w:rsid w:val="00D44286"/>
    <w:rsid w:val="00D450F8"/>
    <w:rsid w:val="00D60D5E"/>
    <w:rsid w:val="00D63F64"/>
    <w:rsid w:val="00D64740"/>
    <w:rsid w:val="00D90F78"/>
    <w:rsid w:val="00D951E9"/>
    <w:rsid w:val="00D95C00"/>
    <w:rsid w:val="00DB04F5"/>
    <w:rsid w:val="00DB55A1"/>
    <w:rsid w:val="00DD1CE0"/>
    <w:rsid w:val="00DD42A5"/>
    <w:rsid w:val="00DD4BDD"/>
    <w:rsid w:val="00DF7EC6"/>
    <w:rsid w:val="00E11658"/>
    <w:rsid w:val="00E22077"/>
    <w:rsid w:val="00E25513"/>
    <w:rsid w:val="00E332CA"/>
    <w:rsid w:val="00E34EF1"/>
    <w:rsid w:val="00E378F9"/>
    <w:rsid w:val="00E417E1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2E86"/>
    <w:rsid w:val="00E96F70"/>
    <w:rsid w:val="00EA177A"/>
    <w:rsid w:val="00EA24DC"/>
    <w:rsid w:val="00EB0B30"/>
    <w:rsid w:val="00EC182C"/>
    <w:rsid w:val="00EC41A2"/>
    <w:rsid w:val="00EC492C"/>
    <w:rsid w:val="00EC5C09"/>
    <w:rsid w:val="00EC6D5B"/>
    <w:rsid w:val="00ED1EFD"/>
    <w:rsid w:val="00ED2A3A"/>
    <w:rsid w:val="00EF102A"/>
    <w:rsid w:val="00EF438E"/>
    <w:rsid w:val="00EF5C9B"/>
    <w:rsid w:val="00F01703"/>
    <w:rsid w:val="00F02F7F"/>
    <w:rsid w:val="00F13916"/>
    <w:rsid w:val="00F25F6E"/>
    <w:rsid w:val="00F43373"/>
    <w:rsid w:val="00F4344C"/>
    <w:rsid w:val="00F46483"/>
    <w:rsid w:val="00F53DD5"/>
    <w:rsid w:val="00F56173"/>
    <w:rsid w:val="00F71C83"/>
    <w:rsid w:val="00F7253D"/>
    <w:rsid w:val="00F75B77"/>
    <w:rsid w:val="00F81663"/>
    <w:rsid w:val="00F872E5"/>
    <w:rsid w:val="00F908DB"/>
    <w:rsid w:val="00F912B4"/>
    <w:rsid w:val="00FA0F68"/>
    <w:rsid w:val="00FB2E31"/>
    <w:rsid w:val="00FB3297"/>
    <w:rsid w:val="00FB4946"/>
    <w:rsid w:val="00FB4BF4"/>
    <w:rsid w:val="00FB706F"/>
    <w:rsid w:val="00FC17EA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1E6A-88B2-47FB-9246-E352E6C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2017-05-16T11:14:00Z</cp:lastPrinted>
  <dcterms:created xsi:type="dcterms:W3CDTF">2018-01-25T05:42:00Z</dcterms:created>
  <dcterms:modified xsi:type="dcterms:W3CDTF">2018-01-25T05:42:00Z</dcterms:modified>
</cp:coreProperties>
</file>