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19" w:rsidRDefault="00774F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4F19" w:rsidRDefault="00774F19">
      <w:pPr>
        <w:pStyle w:val="ConsPlusNormal"/>
        <w:jc w:val="both"/>
        <w:outlineLvl w:val="0"/>
      </w:pPr>
    </w:p>
    <w:p w:rsidR="00774F19" w:rsidRDefault="00774F19">
      <w:pPr>
        <w:pStyle w:val="ConsPlusTitle"/>
        <w:jc w:val="center"/>
      </w:pPr>
      <w:r>
        <w:t>ФЕДЕРАЛЬНАЯ АНТИМОНОПОЛЬНАЯ СЛУЖБА</w:t>
      </w:r>
    </w:p>
    <w:p w:rsidR="00774F19" w:rsidRDefault="00774F19">
      <w:pPr>
        <w:pStyle w:val="ConsPlusTitle"/>
        <w:jc w:val="center"/>
      </w:pPr>
    </w:p>
    <w:p w:rsidR="00774F19" w:rsidRDefault="00774F19">
      <w:pPr>
        <w:pStyle w:val="ConsPlusTitle"/>
        <w:jc w:val="center"/>
      </w:pPr>
      <w:r>
        <w:t>ПИСЬМО</w:t>
      </w:r>
    </w:p>
    <w:p w:rsidR="00774F19" w:rsidRDefault="00774F19">
      <w:pPr>
        <w:pStyle w:val="ConsPlusTitle"/>
        <w:jc w:val="center"/>
      </w:pPr>
      <w:r>
        <w:t>от 13 ноября 2015 г. N ВК/63809/15</w:t>
      </w:r>
    </w:p>
    <w:p w:rsidR="00774F19" w:rsidRDefault="00774F19">
      <w:pPr>
        <w:pStyle w:val="ConsPlusTitle"/>
        <w:jc w:val="center"/>
      </w:pPr>
    </w:p>
    <w:p w:rsidR="00774F19" w:rsidRDefault="00774F19">
      <w:pPr>
        <w:pStyle w:val="ConsPlusTitle"/>
        <w:jc w:val="center"/>
      </w:pPr>
      <w:r>
        <w:t>О ДАЧЕ РАЗЪЯСНЕНИЯ</w:t>
      </w:r>
    </w:p>
    <w:p w:rsidR="00774F19" w:rsidRDefault="00774F19">
      <w:pPr>
        <w:pStyle w:val="ConsPlusNormal"/>
        <w:jc w:val="both"/>
      </w:pPr>
    </w:p>
    <w:p w:rsidR="00774F19" w:rsidRDefault="00774F19">
      <w:pPr>
        <w:pStyle w:val="ConsPlusNormal"/>
        <w:ind w:firstLine="540"/>
        <w:jc w:val="both"/>
      </w:pPr>
      <w:r>
        <w:t>Федеральная антимонопольная служба рассмотрела обращение о даче разъяснения по вопросу о возможности изменения условий договора аренды муниципального имущества, заключенного в 2007 году по результатам торгов, и сообщает следующее.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432</w:t>
        </w:r>
      </w:hyperlink>
      <w:r>
        <w:t xml:space="preserve"> Гражданского кодекса Российской Федерации (далее - ГК РФ)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 xml:space="preserve">В результате заключения дополнительных соглашений, изменяющих существенные условия договора, у сторон возникают новые правоотношения, которые должны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 (согласно </w:t>
      </w:r>
      <w:hyperlink r:id="rId7" w:history="1">
        <w:r>
          <w:rPr>
            <w:color w:val="0000FF"/>
          </w:rPr>
          <w:t>пункту 1 статьи 422</w:t>
        </w:r>
      </w:hyperlink>
      <w:r>
        <w:t xml:space="preserve"> ГК РФ).</w:t>
      </w:r>
    </w:p>
    <w:p w:rsidR="00774F19" w:rsidRDefault="00774F19">
      <w:pPr>
        <w:pStyle w:val="ConsPlusNormal"/>
        <w:spacing w:before="220"/>
        <w:ind w:firstLine="540"/>
        <w:jc w:val="both"/>
      </w:pPr>
      <w:proofErr w:type="gramStart"/>
      <w:r>
        <w:t xml:space="preserve">С учетом вышеизложенного, заключение дополнительных соглашений, изменяющих существенные условия договора без проведения торгов, является нарушением требований, предусмотренных </w:t>
      </w:r>
      <w:hyperlink r:id="rId8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 (далее - Закон о защите конкуренции), поскольку указанные условия согласованы в момент заключения договора на торгах (</w:t>
      </w:r>
      <w:hyperlink r:id="rId9" w:history="1">
        <w:r>
          <w:rPr>
            <w:color w:val="0000FF"/>
          </w:rPr>
          <w:t>часть 5 статьи 448</w:t>
        </w:r>
      </w:hyperlink>
      <w:r>
        <w:t xml:space="preserve"> ГК РФ).</w:t>
      </w:r>
      <w:proofErr w:type="gramEnd"/>
    </w:p>
    <w:p w:rsidR="00774F19" w:rsidRDefault="00774F19">
      <w:pPr>
        <w:pStyle w:val="ConsPlusNormal"/>
        <w:spacing w:before="220"/>
        <w:ind w:firstLine="540"/>
        <w:jc w:val="both"/>
      </w:pPr>
      <w:r>
        <w:t xml:space="preserve">Вместе с тем согласно </w:t>
      </w:r>
      <w:hyperlink r:id="rId10" w:history="1">
        <w:r>
          <w:rPr>
            <w:color w:val="0000FF"/>
          </w:rPr>
          <w:t>пункту 1 статьи 451</w:t>
        </w:r>
      </w:hyperlink>
      <w:r>
        <w:t xml:space="preserve"> ГК РФ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>Изменение обстоятель</w:t>
      </w:r>
      <w:proofErr w:type="gramStart"/>
      <w:r>
        <w:t>ств пр</w:t>
      </w:r>
      <w:proofErr w:type="gramEnd"/>
      <w: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774F19" w:rsidRDefault="00774F1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Пунктом 2 статьи 451</w:t>
        </w:r>
      </w:hyperlink>
      <w:r>
        <w:t xml:space="preserve"> ГК РФ установлено, что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>
        <w:t>договор</w:t>
      </w:r>
      <w:proofErr w:type="gramEnd"/>
      <w:r>
        <w:t xml:space="preserve"> может быть расторгнут, а по основаниям, предусмотренным </w:t>
      </w:r>
      <w:hyperlink r:id="rId12" w:history="1">
        <w:r>
          <w:rPr>
            <w:color w:val="0000FF"/>
          </w:rPr>
          <w:t>пунктом 4 статьи 451</w:t>
        </w:r>
      </w:hyperlink>
      <w:r>
        <w:t xml:space="preserve"> ГК РФ, изменен судом по требованию заинтересованной стороны при наличии одновременно следующих условий: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>1) в момент заключения договора стороны исходили из того, что такого изменения обстоятельств не произойдет;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lastRenderedPageBreak/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>4) из обычаев или существа договора не вытекает, что риск изменения обстоятельств несет заинтересованная сторона.</w:t>
      </w:r>
    </w:p>
    <w:p w:rsidR="00774F19" w:rsidRDefault="00774F1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1 статьи 28.1</w:t>
        </w:r>
      </w:hyperlink>
      <w:r>
        <w:t xml:space="preserve"> Федерального закона от 27.07.2010 N 190-ФЗ "О теплоснабжении" (далее - Закон о теплоснабжении) передача прав владения и (или) пользования объектами теплоснабжения, находящимися в государственной или муниципальной собственности, осуществляется только по договорам их аренды,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</w:t>
      </w:r>
      <w:proofErr w:type="gramEnd"/>
      <w:r>
        <w:t xml:space="preserve"> актов Российской </w:t>
      </w:r>
      <w:proofErr w:type="gramStart"/>
      <w:r>
        <w:t>Федерации</w:t>
      </w:r>
      <w:proofErr w:type="gramEnd"/>
      <w:r>
        <w:t xml:space="preserve"> с учетом предусмотренных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предусмотренных законодательством Российской Федерации о несостоятельности (банкротстве) и законодательством Российской Федерации о приватизации случаев передачи прав на такие объекты.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согласно </w:t>
      </w:r>
      <w:hyperlink r:id="rId15" w:history="1">
        <w:r>
          <w:rPr>
            <w:color w:val="0000FF"/>
          </w:rPr>
          <w:t>части 3 статьи 28.1</w:t>
        </w:r>
      </w:hyperlink>
      <w:r>
        <w:t xml:space="preserve"> Закона о теплоснабжении в случае, если срок, определяемый как разница между датой ввода в эксплуатацию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 объектов </w:t>
      </w:r>
      <w:proofErr w:type="gramStart"/>
      <w:r>
        <w:t>не 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</w:t>
      </w:r>
      <w:proofErr w:type="gramEnd"/>
      <w:r>
        <w:t xml:space="preserve"> технологически </w:t>
      </w:r>
      <w:proofErr w:type="gramStart"/>
      <w:r>
        <w:t>связанными</w:t>
      </w:r>
      <w:proofErr w:type="gramEnd"/>
      <w:r>
        <w:t xml:space="preserve"> в соответствии с законодательством о градостроительной деятельности).</w:t>
      </w:r>
    </w:p>
    <w:p w:rsidR="00774F19" w:rsidRDefault="00774F19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 8 части 1 статьи 17.1</w:t>
        </w:r>
      </w:hyperlink>
      <w:r>
        <w:t xml:space="preserve"> Закона о защите конкуренции допускает возможность заключения договоров без проведения торгов с лицом, обладающим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деятельности.</w:t>
      </w:r>
      <w:proofErr w:type="gramEnd"/>
    </w:p>
    <w:p w:rsidR="00774F19" w:rsidRDefault="00774F1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пункту 24 статьи 1</w:t>
        </w:r>
      </w:hyperlink>
      <w:r>
        <w:t xml:space="preserve"> Градостроительного кодекса Российской Федерации 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>
        <w:t>о-</w:t>
      </w:r>
      <w:proofErr w:type="gramEnd"/>
      <w:r>
        <w:t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2</w:t>
        </w:r>
      </w:hyperlink>
      <w: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N 83, технологически связанные сети - это принадлежащие на праве собственности или ином законном основании организациям сети инженерно-технического обеспечения, имеющие взаимные точки </w:t>
      </w:r>
      <w:r>
        <w:lastRenderedPageBreak/>
        <w:t>присоединения и участвующие в единой технологической системе тепл</w:t>
      </w:r>
      <w:proofErr w:type="gramStart"/>
      <w:r>
        <w:t>о-</w:t>
      </w:r>
      <w:proofErr w:type="gramEnd"/>
      <w:r>
        <w:t>, газо-, водоснабжения и водоотведения.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 xml:space="preserve">Обращаем внимание, что действия по неоднократной последовательной передаче прав на участки сетей одному хозяйствующему субъекту без проведения торгов содержат признаки нарушения </w:t>
      </w:r>
      <w:hyperlink r:id="rId19" w:history="1">
        <w:r>
          <w:rPr>
            <w:color w:val="0000FF"/>
          </w:rPr>
          <w:t>статьей 17.1</w:t>
        </w:r>
      </w:hyperlink>
      <w:r>
        <w:t xml:space="preserve"> и </w:t>
      </w:r>
      <w:hyperlink r:id="rId20" w:history="1">
        <w:r>
          <w:rPr>
            <w:color w:val="0000FF"/>
          </w:rPr>
          <w:t>20</w:t>
        </w:r>
      </w:hyperlink>
      <w:r>
        <w:t xml:space="preserve"> Закона о защите конкуренции, что согласно </w:t>
      </w:r>
      <w:hyperlink r:id="rId21" w:history="1">
        <w:r>
          <w:rPr>
            <w:color w:val="0000FF"/>
          </w:rPr>
          <w:t>статье 21</w:t>
        </w:r>
      </w:hyperlink>
      <w:r>
        <w:t xml:space="preserve"> Закона о защите конкуренции является основанием для возврата такого имущества.</w:t>
      </w:r>
    </w:p>
    <w:p w:rsidR="00774F19" w:rsidRDefault="00774F19">
      <w:pPr>
        <w:pStyle w:val="ConsPlusNormal"/>
        <w:spacing w:before="220"/>
        <w:ind w:firstLine="540"/>
        <w:jc w:val="both"/>
      </w:pPr>
      <w:r>
        <w:t>Такие действия рассматриваются антимонопольным органом как взаимосвязанные сделки, имеющие своей целью передачу без торгов прав не на отдельные участки, а на всю сеть инженерно-технического обеспечения.</w:t>
      </w:r>
    </w:p>
    <w:p w:rsidR="00774F19" w:rsidRDefault="00774F19">
      <w:pPr>
        <w:pStyle w:val="ConsPlusNormal"/>
        <w:ind w:firstLine="540"/>
        <w:jc w:val="both"/>
      </w:pPr>
    </w:p>
    <w:p w:rsidR="00774F19" w:rsidRDefault="00774F19">
      <w:pPr>
        <w:pStyle w:val="ConsPlusNormal"/>
        <w:jc w:val="right"/>
      </w:pPr>
      <w:r>
        <w:t>В.Г.КОРОЛЕВ</w:t>
      </w:r>
    </w:p>
    <w:p w:rsidR="00774F19" w:rsidRDefault="00774F19">
      <w:pPr>
        <w:pStyle w:val="ConsPlusNormal"/>
        <w:jc w:val="both"/>
      </w:pPr>
    </w:p>
    <w:p w:rsidR="00774F19" w:rsidRDefault="00774F19">
      <w:pPr>
        <w:pStyle w:val="ConsPlusNormal"/>
        <w:jc w:val="both"/>
      </w:pPr>
    </w:p>
    <w:p w:rsidR="00774F19" w:rsidRDefault="00774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9D5" w:rsidRDefault="00DA09D5">
      <w:bookmarkStart w:id="0" w:name="_GoBack"/>
      <w:bookmarkEnd w:id="0"/>
    </w:p>
    <w:sectPr w:rsidR="00DA09D5" w:rsidSect="0073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19"/>
    <w:rsid w:val="00296041"/>
    <w:rsid w:val="00493EE2"/>
    <w:rsid w:val="00774F19"/>
    <w:rsid w:val="00D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82392BF902C451050817D7381E9A47D4FF8A138EAB0AD9Cr3M2G" TargetMode="External"/><Relationship Id="rId13" Type="http://schemas.openxmlformats.org/officeDocument/2006/relationships/hyperlink" Target="consultantplus://offline/ref=C439A29A213803ED429F169F75A9BF36082895BC912D451050817D7381E9A47D4FF8A138EAB0AC92r3MCG" TargetMode="External"/><Relationship Id="rId18" Type="http://schemas.openxmlformats.org/officeDocument/2006/relationships/hyperlink" Target="consultantplus://offline/ref=C439A29A213803ED429F169F75A9BF36082391B29124451050817D7381E9A47D4FF8A138EAB0A894r3M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39A29A213803ED429F169F75A9BF36082392BF902C451050817D7381E9A47D4FF8A13DEErBM6G" TargetMode="External"/><Relationship Id="rId7" Type="http://schemas.openxmlformats.org/officeDocument/2006/relationships/hyperlink" Target="consultantplus://offline/ref=C439A29A213803ED429F169F75A9BF360B2294BB9728451050817D7381E9A47D4FF8A138EAB1A19Cr3M3G" TargetMode="External"/><Relationship Id="rId12" Type="http://schemas.openxmlformats.org/officeDocument/2006/relationships/hyperlink" Target="consultantplus://offline/ref=C439A29A213803ED429F169F75A9BF360B2294BB9728451050817D7381E9A47D4FF8A138EAB2A991r3M9G" TargetMode="External"/><Relationship Id="rId17" Type="http://schemas.openxmlformats.org/officeDocument/2006/relationships/hyperlink" Target="consultantplus://offline/ref=C439A29A213803ED429F169F75A9BF36082392BF942F451050817D7381E9A47D4FF8A13FEErBM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39A29A213803ED429F169F75A9BF36082392BF902C451050817D7381E9A47D4FF8A138EAB0AE95r3M3G" TargetMode="External"/><Relationship Id="rId20" Type="http://schemas.openxmlformats.org/officeDocument/2006/relationships/hyperlink" Target="consultantplus://offline/ref=C439A29A213803ED429F169F75A9BF36082392BF902C451050817D7381E9A47D4FF8A131rEM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9A29A213803ED429F169F75A9BF360B2294BB9728451050817D7381E9A47D4FF8A138EAB2A891r3M2G" TargetMode="External"/><Relationship Id="rId11" Type="http://schemas.openxmlformats.org/officeDocument/2006/relationships/hyperlink" Target="consultantplus://offline/ref=C439A29A213803ED429F169F75A9BF360B2294BB9728451050817D7381E9A47D4FF8A138EAB2A996r3M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39A29A213803ED429F169F75A9BF36082895BC912D451050817D7381E9A47D4FF8A138EAB0AC92r3M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39A29A213803ED429F169F75A9BF360B2294BB9728451050817D7381E9A47D4FF8A138EAB2A996r3MFG" TargetMode="External"/><Relationship Id="rId19" Type="http://schemas.openxmlformats.org/officeDocument/2006/relationships/hyperlink" Target="consultantplus://offline/ref=C439A29A213803ED429F169F75A9BF36082392BF902C451050817D7381E9A47D4FF8A138EAB0AD9Cr3M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9A29A213803ED429F169F75A9BF360B2294BB9728451050817D7381E9A47D4FF8A138EAB2A997r3MBG" TargetMode="External"/><Relationship Id="rId14" Type="http://schemas.openxmlformats.org/officeDocument/2006/relationships/hyperlink" Target="consultantplus://offline/ref=C439A29A213803ED429F169F75A9BF36082895BC912D451050817D7381rEM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2018-06-01T06:12:00Z</dcterms:created>
  <dcterms:modified xsi:type="dcterms:W3CDTF">2018-06-01T06:13:00Z</dcterms:modified>
</cp:coreProperties>
</file>