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F" w:rsidRDefault="002462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62EF" w:rsidRDefault="002462EF">
      <w:pPr>
        <w:pStyle w:val="ConsPlusNormal"/>
        <w:jc w:val="both"/>
        <w:outlineLvl w:val="0"/>
      </w:pPr>
    </w:p>
    <w:p w:rsidR="002462EF" w:rsidRDefault="002462EF">
      <w:pPr>
        <w:pStyle w:val="ConsPlusTitle"/>
        <w:jc w:val="center"/>
      </w:pPr>
      <w:r>
        <w:t>МИНИСТЕРСТВО СТРОИТЕЛЬСТВА И ЖИЛИЩНО-КОММУНАЛЬНОГО</w:t>
      </w:r>
    </w:p>
    <w:p w:rsidR="002462EF" w:rsidRDefault="002462EF">
      <w:pPr>
        <w:pStyle w:val="ConsPlusTitle"/>
        <w:jc w:val="center"/>
      </w:pPr>
      <w:r>
        <w:t>ХОЗЯЙСТВА РОССИЙСКОЙ ФЕДЕРАЦИИ</w:t>
      </w:r>
    </w:p>
    <w:p w:rsidR="002462EF" w:rsidRDefault="002462EF">
      <w:pPr>
        <w:pStyle w:val="ConsPlusTitle"/>
        <w:jc w:val="center"/>
      </w:pPr>
    </w:p>
    <w:p w:rsidR="002462EF" w:rsidRDefault="002462EF">
      <w:pPr>
        <w:pStyle w:val="ConsPlusTitle"/>
        <w:jc w:val="center"/>
      </w:pPr>
      <w:r>
        <w:t>ПИСЬМО</w:t>
      </w:r>
    </w:p>
    <w:p w:rsidR="002462EF" w:rsidRDefault="002462EF">
      <w:pPr>
        <w:pStyle w:val="ConsPlusTitle"/>
        <w:jc w:val="center"/>
      </w:pPr>
      <w:r>
        <w:t>от 10 апреля 2015 г. N 10371-АЧ/04</w:t>
      </w:r>
    </w:p>
    <w:p w:rsidR="002462EF" w:rsidRDefault="002462EF">
      <w:pPr>
        <w:pStyle w:val="ConsPlusNormal"/>
        <w:jc w:val="both"/>
      </w:pPr>
    </w:p>
    <w:p w:rsidR="002462EF" w:rsidRDefault="002462EF">
      <w:pPr>
        <w:pStyle w:val="ConsPlusNormal"/>
        <w:ind w:firstLine="540"/>
        <w:jc w:val="both"/>
      </w:pPr>
      <w:proofErr w:type="gramStart"/>
      <w:r>
        <w:t>Федеральным законом от 7 мая 2013 г. N 103-ФЗ "О внесении изменений в Федеральный закон "О концессионных соглашениях и внесении изменений в отдельные законодательные акты Российской Федерации" (далее - Федеральный закон N 103-ФЗ) внесены изменения в законодательство о концессионных соглашениях, о теплоснабжении, водоснабжении и водоотведении, устанавливающие особенности заключения концессионных соглашений в отношении объектов теплоснабжения, централизованных систем горячего водоснабжения, холодного водоснабжения и</w:t>
      </w:r>
      <w:proofErr w:type="gramEnd"/>
      <w:r>
        <w:t xml:space="preserve"> (или) водоотведения, отдельных объектов таких систем (далее - объекты коммунальной инфраструктуры).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 xml:space="preserve">Основные изменения, внесенные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N 103-ФЗ, вступили в силу с 1 января 2014 года. </w:t>
      </w:r>
      <w:proofErr w:type="gramStart"/>
      <w:r>
        <w:t xml:space="preserve">Вместе с тем анализ концессионных соглашений, заключенных за период 2014 - 2015 годов, показал, что в большинстве случаев концессионные соглашения не соответствуют требованиям,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2005 г. N 115-ФЗ "О концессионных соглашениях" (далее - Закон о концессионных соглашениях), в том числе в части положений, внесенных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103-ФЗ.</w:t>
      </w:r>
      <w:proofErr w:type="gramEnd"/>
    </w:p>
    <w:p w:rsidR="002462EF" w:rsidRDefault="002462EF">
      <w:pPr>
        <w:pStyle w:val="ConsPlusNormal"/>
        <w:spacing w:before="220"/>
        <w:ind w:firstLine="540"/>
        <w:jc w:val="both"/>
      </w:pPr>
      <w:r>
        <w:t>В целях обеспечения заключения концессионных соглашений, соответствующих действующему законодательству и обеспечивающих баланс интересов сторон соглашения, Минстрой России обращает внимание на следующее.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 xml:space="preserve">1. Наиболее часто встречающимся нарушением является отсутствие в концессионных соглашениях необходимых существенных условий, предусмотренных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о концессионных соглашениях. В соответствии с </w:t>
      </w:r>
      <w:hyperlink r:id="rId10" w:history="1">
        <w:r>
          <w:rPr>
            <w:color w:val="0000FF"/>
          </w:rPr>
          <w:t>частью 1 статьи 432</w:t>
        </w:r>
      </w:hyperlink>
      <w:r>
        <w:t xml:space="preserve">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Таким образом, в случае отсутствия в концессионных соглашениях существенных условий, предусмотренных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концессионных соглашениях, такие соглашения считаются незаключенными.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 xml:space="preserve">Считаем необходимым отметить, что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103-ФЗ перечень существенных условий, которые должны содержаться в концессионном соглашении, значительно расширен. К ним отнесены долгосрочные параметры регулирования деятельности концессионера, расходы концессионера на создание и (или) реконструкцию объектов соглашения, значения показателей надежности, качества, энергетической эффективности объектов, порядок возмещения расходов концессионера.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 xml:space="preserve">2.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103-ФЗ введено требование, согласно которому частный оператор не сможет получить в эксплуатацию объекты коммунальной инфраструктуры без принятия на себя обязательств по модернизации (созданию, реконструкции) имущества за счет привлеченных средств.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Обязательства концессионера по созданию и (или) реконструкции (модернизации) объекта концессионного соглашения, а также осуществления деятельности с его использованием должны быть указаны в концессионном соглашении.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 xml:space="preserve">Указанные обязательства необходимо отражать в виде основных мероприятий по созданию </w:t>
      </w:r>
      <w:r>
        <w:lastRenderedPageBreak/>
        <w:t>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 Причем обязательства определяются концедентом по результатам проведенного технического обследования передаваемых объектов, а также с учетом развития систем теплоснабжения, водоснабжения и водоотведения, предусмотренного схемами тепло-, водоснабжения и водоотведения.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В концессионном соглашении должны быть также определены сроки работ по строительству (реконструкции, модернизации), сроки ввода в эксплуатацию объектов, сроки осуществления деятельности.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При этом целесообразно устанавливать сроки выполнения работ по строительству (реконструкции, модернизации) в первые годы срока действия концессионного соглашения (например, 3 - 7 гг. в зависимости от срока действия концессионного соглашения).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3. Концессионное соглашение должно содержать описание, в том числе технико-экономические показатели, объекта концессионного соглашения.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При описании объекта концессионного соглашения необходимо отражать следующие характеристики: тип системы коммунальной инфраструктуры, количество основных объектов (например, котельных, источников водоснабжения, трансформаторных подстанций, насосных станций, очистных сооружений и т.д.), общую протяженность сетей по их видам, сведения о потерях ресурсов на объектах имущества.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При описании техническо-экономических показателей объектов, входящих в состав объекта концессионного соглашения, следует приводить следующие показатели - сведения о сроке эксплуатации, износе, балансовой стоимости, о проведенных мероприятиях по ремонту.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Кроме того, необходимо указать основные технические характеристики объектов недвижимого имущества, входящих в состав объекта концессионного соглашения, объектов оборудования, которыми оснащены объекты недвижимого имущества.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Аналогичным образом необходимо описывать объекты иного имущества, передаваемого концедентом концессионеру по концессионному соглашению.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4. Значения долгосрочных параметров регулирования деятельности концессионера должны быть согласованы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5. Плановые значения показателей надежности, качества, энергетической эффективности объектов устанавливаются на каждый год срока действия концессионного соглашения.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6. При определении порядка возмещения расходов концессионера, не возмещенных ему на момент окончания срока действия концессионного соглашения, а также при досрочном расторжении концессионного соглашения необходимо учитывать следующее.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В концессионном соглашении должны быть перечислены виды расходов концессионера, подлежащие возмещению. Такие расходы по составу должны соответствовать составу инвестиционных расходов концессионера (например, расходы на создание, реконструкцию, модернизацию, капитальный ремонт объекта соглашения).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 xml:space="preserve">Кроме того, необходимо указывать срок, в течение которого не возмещенные за счет тарифа расходы возвращаются концессионеру.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1.3 статьи 10</w:t>
        </w:r>
      </w:hyperlink>
      <w:r>
        <w:t xml:space="preserve"> Закона о концессионных соглашениях такой срок не может превышать 2 лет при непродлении срока </w:t>
      </w:r>
      <w:r>
        <w:lastRenderedPageBreak/>
        <w:t>действия концессионного соглашения, а также 5 лет - при условии продления срока действия концессионного соглашения на период, достаточный для возмещения указанных расходов концессионера, или при условии возмещения указанных расходов, с учетом нормы доходности инвестированного капитала.</w:t>
      </w:r>
      <w:proofErr w:type="gramEnd"/>
    </w:p>
    <w:p w:rsidR="002462EF" w:rsidRDefault="002462EF">
      <w:pPr>
        <w:pStyle w:val="ConsPlusNormal"/>
        <w:spacing w:before="220"/>
        <w:ind w:firstLine="540"/>
        <w:jc w:val="both"/>
      </w:pPr>
      <w:r>
        <w:t>7. В случае если объектом концессионного соглашения являются объекты теплоснабжения, водоснабжения, водоснабжения и (или) водоотведения, обеспечением исполнения обязательств по концессионному соглашению может быть только безотзывная банковская гарантия.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 xml:space="preserve">Банковская гарантия должна быть непередаваемой и соответствовать иным требованиям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декабря 2013 г. N 1188 "Об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В концессионном соглашении требуется указать размер банковской гарантии на каждый год действия банковской гарантии, а также срок действия банковской гарантии.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8. Установление, изменение, корректировка регулируемых цен (тарифов) на производимые и реализуемые концессионером товары, оказываемые услуги осуществляются по правилам, действовавшим на момент заключения такого концессионного соглашения. При этом метод тарифного регулирования указывается в концессионном соглашении.</w:t>
      </w:r>
    </w:p>
    <w:p w:rsidR="002462EF" w:rsidRDefault="002462EF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Пунктом 14.1</w:t>
        </w:r>
      </w:hyperlink>
      <w:r>
        <w:t xml:space="preserve"> Плана действий по привлечению в жилищно-коммунальное хозяйство частных инвестиций, утвержденного распоряжением Правительства Российской Федерации от 22 августа 2011 г. N 1493-р (далее - План) предусмотрено проведение конкурсов на право заключения концессионных соглашений с целью передачи в концессию объектов жилищно-коммунального хозяйства всех неэффективных предприятий государственных и муниципальных предприятий в сфере жилищно-коммунального хозяйства согласно графикам не позднее 1 января 2016 года.</w:t>
      </w:r>
      <w:proofErr w:type="gramEnd"/>
    </w:p>
    <w:p w:rsidR="002462EF" w:rsidRDefault="002462EF">
      <w:pPr>
        <w:pStyle w:val="ConsPlusNormal"/>
        <w:spacing w:before="220"/>
        <w:ind w:firstLine="540"/>
        <w:jc w:val="both"/>
      </w:pPr>
      <w:r>
        <w:t xml:space="preserve">В целях оказания методической помощи в подготовке и реализации концессионных соглашений Минстрой России подготовил типовую конкурсную документацию </w:t>
      </w:r>
      <w:proofErr w:type="gramStart"/>
      <w:r>
        <w:t>по проведению открытого конкурса на право заключения концессионного соглашения в отношении объектов коммунальной инфраструктуры с учетом законодательства Российской Федерации о концессионных соглашениях</w:t>
      </w:r>
      <w:proofErr w:type="gramEnd"/>
      <w:r>
        <w:t>.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>Указанная документация размещена на официальном сайте министерства в разделе "Документы" - "Конкурсная документация по проведению открытого конкурса на право заключения концессионного соглашения в отношении системы коммунальной инфраструктуры" http://minstroyrf.ru/docs/3603/</w:t>
      </w:r>
    </w:p>
    <w:p w:rsidR="002462EF" w:rsidRDefault="002462EF">
      <w:pPr>
        <w:pStyle w:val="ConsPlusNormal"/>
        <w:spacing w:before="220"/>
        <w:ind w:firstLine="540"/>
        <w:jc w:val="both"/>
      </w:pPr>
      <w:r>
        <w:t xml:space="preserve">С целью своевременного исполнения </w:t>
      </w:r>
      <w:hyperlink r:id="rId17" w:history="1">
        <w:r>
          <w:rPr>
            <w:color w:val="0000FF"/>
          </w:rPr>
          <w:t>Плана</w:t>
        </w:r>
      </w:hyperlink>
      <w:r>
        <w:t xml:space="preserve"> прошу довести указанные разъяснения о применении законодательства Российской Федерации о концессионных соглашениях и информацию до заинтересованных органов исполнительной власти субъектов Российской Федерации и органов местного самоуправления.</w:t>
      </w:r>
    </w:p>
    <w:p w:rsidR="002462EF" w:rsidRDefault="002462EF">
      <w:pPr>
        <w:pStyle w:val="ConsPlusNormal"/>
        <w:jc w:val="both"/>
      </w:pPr>
    </w:p>
    <w:p w:rsidR="002462EF" w:rsidRDefault="002462EF">
      <w:pPr>
        <w:pStyle w:val="ConsPlusNormal"/>
        <w:jc w:val="right"/>
      </w:pPr>
      <w:r>
        <w:t>А.В.ЧИБИС</w:t>
      </w:r>
    </w:p>
    <w:p w:rsidR="002462EF" w:rsidRDefault="002462EF">
      <w:pPr>
        <w:pStyle w:val="ConsPlusNormal"/>
        <w:jc w:val="both"/>
      </w:pPr>
    </w:p>
    <w:p w:rsidR="002462EF" w:rsidRDefault="002462EF">
      <w:pPr>
        <w:pStyle w:val="ConsPlusNormal"/>
        <w:jc w:val="both"/>
      </w:pPr>
    </w:p>
    <w:p w:rsidR="002462EF" w:rsidRDefault="002462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815" w:rsidRDefault="00D74815">
      <w:bookmarkStart w:id="0" w:name="_GoBack"/>
      <w:bookmarkEnd w:id="0"/>
    </w:p>
    <w:sectPr w:rsidR="00D74815" w:rsidSect="00F3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F"/>
    <w:rsid w:val="002462EF"/>
    <w:rsid w:val="00296041"/>
    <w:rsid w:val="00493EE2"/>
    <w:rsid w:val="00D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D4354C86E475966A2B3E38FA58CF15979A72FF267B69C129AFBD948kBS6G" TargetMode="External"/><Relationship Id="rId13" Type="http://schemas.openxmlformats.org/officeDocument/2006/relationships/hyperlink" Target="consultantplus://offline/ref=14AD4354C86E475966A2B3E38FA58CF15979A72FF267B69C129AFBD948kBS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D4354C86E475966A2B3E38FA58CF15970A226F16BB69C129AFBD948kBS6G" TargetMode="External"/><Relationship Id="rId12" Type="http://schemas.openxmlformats.org/officeDocument/2006/relationships/hyperlink" Target="consultantplus://offline/ref=14AD4354C86E475966A2B3E38FA58CF15979A72FF267B69C129AFBD948kBS6G" TargetMode="External"/><Relationship Id="rId17" Type="http://schemas.openxmlformats.org/officeDocument/2006/relationships/hyperlink" Target="consultantplus://offline/ref=14AD4354C86E475966A2B3E38FA58CF15A71A52FFA66B69C129AFBD948B66C2B0A565040364A2433k2S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AD4354C86E475966A2B3E38FA58CF15A71A52FFA66B69C129AFBD948B66C2B0A565040364A2530k2S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D4354C86E475966A2B3E38FA58CF15979A72FF267B69C129AFBD948kBS6G" TargetMode="External"/><Relationship Id="rId11" Type="http://schemas.openxmlformats.org/officeDocument/2006/relationships/hyperlink" Target="consultantplus://offline/ref=14AD4354C86E475966A2B3E38FA58CF15970A226F16BB69C129AFBD948kBS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AD4354C86E475966A2B3E38FA58CF1597BA727F665B69C129AFBD948B66C2B0A565040364A2432k2SEG" TargetMode="External"/><Relationship Id="rId10" Type="http://schemas.openxmlformats.org/officeDocument/2006/relationships/hyperlink" Target="consultantplus://offline/ref=14AD4354C86E475966A2B3E38FA58CF15971A12EF361B69C129AFBD948B66C2B0A56504036482436k2S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D4354C86E475966A2B3E38FA58CF15970A226F16BB69C129AFBD948B66C2B0A565040364A243Ak2S4G" TargetMode="External"/><Relationship Id="rId14" Type="http://schemas.openxmlformats.org/officeDocument/2006/relationships/hyperlink" Target="consultantplus://offline/ref=14AD4354C86E475966A2B3E38FA58CF15970A226F16BB69C129AFBD948B66C2B0A56504033k4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2018-06-01T06:18:00Z</dcterms:created>
  <dcterms:modified xsi:type="dcterms:W3CDTF">2018-06-01T06:19:00Z</dcterms:modified>
</cp:coreProperties>
</file>