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7F" w:rsidRDefault="00650B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0B7F" w:rsidRDefault="00650B7F">
      <w:pPr>
        <w:pStyle w:val="ConsPlusNormal"/>
        <w:jc w:val="both"/>
        <w:outlineLvl w:val="0"/>
      </w:pPr>
    </w:p>
    <w:p w:rsidR="00650B7F" w:rsidRDefault="00650B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0B7F" w:rsidRDefault="00650B7F">
      <w:pPr>
        <w:pStyle w:val="ConsPlusTitle"/>
        <w:jc w:val="center"/>
      </w:pPr>
    </w:p>
    <w:p w:rsidR="00650B7F" w:rsidRDefault="00650B7F">
      <w:pPr>
        <w:pStyle w:val="ConsPlusTitle"/>
        <w:jc w:val="center"/>
      </w:pPr>
      <w:r>
        <w:t>ПОСТАНОВЛЕНИЕ</w:t>
      </w:r>
    </w:p>
    <w:p w:rsidR="00650B7F" w:rsidRDefault="00650B7F">
      <w:pPr>
        <w:pStyle w:val="ConsPlusTitle"/>
        <w:jc w:val="center"/>
      </w:pPr>
      <w:r>
        <w:t>от 16 мая 2016 г. N 424</w:t>
      </w:r>
    </w:p>
    <w:p w:rsidR="00650B7F" w:rsidRDefault="00650B7F">
      <w:pPr>
        <w:pStyle w:val="ConsPlusTitle"/>
        <w:jc w:val="center"/>
      </w:pPr>
    </w:p>
    <w:p w:rsidR="00650B7F" w:rsidRDefault="00650B7F">
      <w:pPr>
        <w:pStyle w:val="ConsPlusTitle"/>
        <w:jc w:val="center"/>
      </w:pPr>
      <w:r>
        <w:t>ОБ УТВЕРЖДЕНИИ ПОРЯДКА</w:t>
      </w:r>
    </w:p>
    <w:p w:rsidR="00650B7F" w:rsidRDefault="00650B7F">
      <w:pPr>
        <w:pStyle w:val="ConsPlusTitle"/>
        <w:jc w:val="center"/>
      </w:pPr>
      <w:r>
        <w:t>РАЗРАБОТКИ, СОГЛАСОВАНИЯ, УТВЕРЖДЕНИЯ И КОРРЕКТИРОВКИ</w:t>
      </w:r>
    </w:p>
    <w:p w:rsidR="00650B7F" w:rsidRDefault="00650B7F">
      <w:pPr>
        <w:pStyle w:val="ConsPlusTitle"/>
        <w:jc w:val="center"/>
      </w:pPr>
      <w:r>
        <w:t>ИНВЕСТИЦИОННЫХ И ПРОИЗВОДСТВЕННЫХ ПРОГРАММ В ОБЛАСТИ</w:t>
      </w:r>
    </w:p>
    <w:p w:rsidR="00650B7F" w:rsidRDefault="00650B7F">
      <w:pPr>
        <w:pStyle w:val="ConsPlusTitle"/>
        <w:jc w:val="center"/>
      </w:pPr>
      <w:r>
        <w:t>ОБРАЩЕНИЯ С ТВЕРДЫМИ КОММУНАЛЬНЫМИ ОТХОДАМИ, В ТОМ ЧИСЛЕ</w:t>
      </w:r>
    </w:p>
    <w:p w:rsidR="00650B7F" w:rsidRDefault="00650B7F">
      <w:pPr>
        <w:pStyle w:val="ConsPlusTitle"/>
        <w:jc w:val="center"/>
      </w:pPr>
      <w:r>
        <w:t>ПОРЯДКА ОПРЕДЕЛЕНИЯ ПЛАНОВЫХ И ФАКТИЧЕСКИХ ЗНАЧЕНИЙ</w:t>
      </w:r>
    </w:p>
    <w:p w:rsidR="00650B7F" w:rsidRDefault="00650B7F">
      <w:pPr>
        <w:pStyle w:val="ConsPlusTitle"/>
        <w:jc w:val="center"/>
      </w:pPr>
      <w:r>
        <w:t>ПОКАЗАТЕЛЕЙ ЭФФЕКТИВНОСТИ ОБЪЕКТОВ, ИСПОЛЬЗУЕМЫХ</w:t>
      </w:r>
    </w:p>
    <w:p w:rsidR="00650B7F" w:rsidRDefault="00650B7F">
      <w:pPr>
        <w:pStyle w:val="ConsPlusTitle"/>
        <w:jc w:val="center"/>
      </w:pPr>
      <w:r>
        <w:t>ДЛЯ ОБРАБОТКИ, ОБЕЗВРЕЖИВАНИЯ И ЗАХОРОНЕНИЯ</w:t>
      </w:r>
    </w:p>
    <w:p w:rsidR="00650B7F" w:rsidRDefault="00650B7F">
      <w:pPr>
        <w:pStyle w:val="ConsPlusTitle"/>
        <w:jc w:val="center"/>
      </w:pPr>
      <w:r>
        <w:t>ТВЕРДЫХ КОММУНАЛЬНЫХ ОТХОДОВ</w:t>
      </w:r>
    </w:p>
    <w:p w:rsidR="00650B7F" w:rsidRDefault="00650B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B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B7F" w:rsidRDefault="00650B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B7F" w:rsidRDefault="00650B7F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28.02.2018 N АКПИ17-1146)</w:t>
            </w:r>
          </w:p>
        </w:tc>
      </w:tr>
    </w:tbl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</w:t>
        </w:r>
      </w:hyperlink>
      <w:r>
        <w:t xml:space="preserve"> и </w:t>
      </w:r>
      <w:hyperlink r:id="rId8" w:history="1">
        <w:r>
          <w:rPr>
            <w:color w:val="0000FF"/>
          </w:rPr>
          <w:t>пунктом 3 статьи 24.13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650B7F" w:rsidRDefault="00650B7F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Правила</w:t>
        </w:r>
      </w:hyperlink>
      <w:r>
        <w:t xml:space="preserve"> разработки, согласования, утверждения и корректировки инвестиционных программ в области обращения с твердыми коммунальными отходами;</w:t>
      </w:r>
    </w:p>
    <w:p w:rsidR="00650B7F" w:rsidRDefault="00650B7F">
      <w:pPr>
        <w:pStyle w:val="ConsPlusNormal"/>
        <w:spacing w:before="220"/>
        <w:ind w:firstLine="540"/>
        <w:jc w:val="both"/>
      </w:pPr>
      <w:hyperlink w:anchor="P150" w:history="1">
        <w:r>
          <w:rPr>
            <w:color w:val="0000FF"/>
          </w:rPr>
          <w:t>Правила</w:t>
        </w:r>
      </w:hyperlink>
      <w:r>
        <w:t xml:space="preserve"> разработки, согласования, утверждения и корректировки производственных программ в области обращения с твердыми коммунальными отходами;</w:t>
      </w:r>
    </w:p>
    <w:p w:rsidR="00650B7F" w:rsidRDefault="00650B7F">
      <w:pPr>
        <w:pStyle w:val="ConsPlusNormal"/>
        <w:spacing w:before="220"/>
        <w:ind w:firstLine="540"/>
        <w:jc w:val="both"/>
      </w:pPr>
      <w:hyperlink w:anchor="P236" w:history="1">
        <w:r>
          <w:rPr>
            <w:color w:val="0000FF"/>
          </w:rPr>
          <w:t>Правила</w:t>
        </w:r>
      </w:hyperlink>
      <w:r>
        <w:t xml:space="preserve">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отходов.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right"/>
      </w:pPr>
      <w:r>
        <w:t>Председатель Правительства</w:t>
      </w:r>
    </w:p>
    <w:p w:rsidR="00650B7F" w:rsidRDefault="00650B7F">
      <w:pPr>
        <w:pStyle w:val="ConsPlusNormal"/>
        <w:jc w:val="right"/>
      </w:pPr>
      <w:r>
        <w:t>Российской Федерации</w:t>
      </w:r>
    </w:p>
    <w:p w:rsidR="00650B7F" w:rsidRDefault="00650B7F">
      <w:pPr>
        <w:pStyle w:val="ConsPlusNormal"/>
        <w:jc w:val="right"/>
      </w:pPr>
      <w:r>
        <w:t>Д.МЕДВЕДЕВ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right"/>
        <w:outlineLvl w:val="0"/>
      </w:pPr>
      <w:r>
        <w:t>Утверждены</w:t>
      </w:r>
    </w:p>
    <w:p w:rsidR="00650B7F" w:rsidRDefault="00650B7F">
      <w:pPr>
        <w:pStyle w:val="ConsPlusNormal"/>
        <w:jc w:val="right"/>
      </w:pPr>
      <w:r>
        <w:t>постановлением Правительства</w:t>
      </w:r>
    </w:p>
    <w:p w:rsidR="00650B7F" w:rsidRDefault="00650B7F">
      <w:pPr>
        <w:pStyle w:val="ConsPlusNormal"/>
        <w:jc w:val="right"/>
      </w:pPr>
      <w:r>
        <w:t>Российской Федерации</w:t>
      </w:r>
    </w:p>
    <w:p w:rsidR="00650B7F" w:rsidRDefault="00650B7F">
      <w:pPr>
        <w:pStyle w:val="ConsPlusNormal"/>
        <w:jc w:val="right"/>
      </w:pPr>
      <w:r>
        <w:t>от 16 мая 2016 г. N 424</w:t>
      </w:r>
    </w:p>
    <w:p w:rsidR="00650B7F" w:rsidRDefault="00650B7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B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B7F" w:rsidRDefault="00650B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B7F" w:rsidRDefault="00650B7F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28.02.2018 N АКПИ17-1146 с 31.12.2017 Правила признаны частично недействующими.</w:t>
            </w:r>
          </w:p>
        </w:tc>
      </w:tr>
    </w:tbl>
    <w:p w:rsidR="00650B7F" w:rsidRDefault="00650B7F">
      <w:pPr>
        <w:pStyle w:val="ConsPlusTitle"/>
        <w:spacing w:before="280"/>
        <w:jc w:val="center"/>
      </w:pPr>
      <w:bookmarkStart w:id="0" w:name="P38"/>
      <w:bookmarkEnd w:id="0"/>
      <w:r>
        <w:t>ПРАВИЛА</w:t>
      </w:r>
    </w:p>
    <w:p w:rsidR="00650B7F" w:rsidRDefault="00650B7F">
      <w:pPr>
        <w:pStyle w:val="ConsPlusTitle"/>
        <w:jc w:val="center"/>
      </w:pPr>
      <w:r>
        <w:lastRenderedPageBreak/>
        <w:t>РАЗРАБОТКИ, СОГЛАСОВАНИЯ, УТВЕРЖДЕНИЯ И КОРРЕКТИРОВКИ</w:t>
      </w:r>
    </w:p>
    <w:p w:rsidR="00650B7F" w:rsidRDefault="00650B7F">
      <w:pPr>
        <w:pStyle w:val="ConsPlusTitle"/>
        <w:jc w:val="center"/>
      </w:pPr>
      <w:r>
        <w:t>ИНВЕСТИЦИОННЫХ ПРОГРАММ В ОБЛАСТИ ОБРАЩЕНИЯ С ТВЕРДЫМИ</w:t>
      </w:r>
    </w:p>
    <w:p w:rsidR="00650B7F" w:rsidRDefault="00650B7F">
      <w:pPr>
        <w:pStyle w:val="ConsPlusTitle"/>
        <w:jc w:val="center"/>
      </w:pPr>
      <w:r>
        <w:t>КОММУНАЛЬНЫМИ ОТХОДАМИ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  <w:outlineLvl w:val="1"/>
      </w:pPr>
      <w:r>
        <w:t>I. Общие положения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1. Настоящие Правила устанавливают порядок разработки, согласования, утверждения и корректировки инвестиционных программ в области обращения с твердыми коммунальными отходами (далее - инвестиционные программы) операторов по обращению с твердыми коммунальными отходами, осуществляющих регулируемые виды деятельности в сфере обращения с твердыми коммунальными отходами и осуществляющих строительство, реконструкцию и (или) модернизацию объектов, используемых для обращения с твердыми коммунальными отходами (далее соответственно - объекты, регулируемые организации), а также требования к содержанию инвестиционных программ и процедуру рассмотрения разногласий при их утверждении.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2. Проект инвестиционной программы разрабатывается регулируемой организацией. Инвестиционная программа утверждается уполномоченным органом исполнительной власти субъекта Российской Федерации (далее - уполномоченный орган).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3. В инвестиционную программу подлежат включению мероприятия по строительству, реконструкции и (или) модернизации объектов, реализуемые регулируемой организацией, предусмотренные территориальной схемой в области обращения с отходами, в том числе с твердыми коммунальными отходами (далее - территориальная схема обращения с отходами), соглашением между органом государственной власти субъекта Российской Федерации и региональным оператором по обращению с твердыми коммунальными отходами (далее - соглашение с органом государственной власти субъекта Российской Федерации), концессионными соглашениями, инвестиционными договорами и (или) государственными контрактами (далее - мероприятия инвестиционной программы).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Включение в инвестиционную программу мероприятий, а также параметров реализации мероприятий инвестиционной программы, не предусмотренных территориальной схемой обращения с отходами, соглашением с органом государственной власти субъекта Российской Федерации, концессионными соглашениями, инвестиционными договорами и (или) государственными контрактами, не допускается.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4. Инвестиционная программа разрабатывается на срок, определенный регулируемой организацией, но не менее чем на срок действия регулируемых тарифов регулируемой организации.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  <w:outlineLvl w:val="1"/>
      </w:pPr>
      <w:bookmarkStart w:id="1" w:name="P51"/>
      <w:bookmarkEnd w:id="1"/>
      <w:r>
        <w:t>II. Требования к содержанию инвестиционной программы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5. Инвестиционная программа включает в себя: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а) паспорт инвестиционной программы, содержащий следующую информацию: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наименование регулируемой организации, ее местонахождение и контакты ответственных лиц;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наименование уполномоченного органа, его местонахождение и контакты ответственных лиц;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плановые и фактические значения показателей эффективности объектов отдельно на каждый год в течение срока реализации инвестиционной программы, в том числе до начала и после ее реализации;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lastRenderedPageBreak/>
        <w:t>б) перечень мероприятий инвестиционной программы, их описание и обоснование необходимости их проведения, включая: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указание регулируемых видов деятельности, осуществляемых на объектах;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объем финансовых потребностей на реализацию каждого мероприятия инвестиционной программы (в ценах последнего отчетного года, предшествующего году начала реализации инвестиционной программы, и в прогнозных ценах соответствующего года, определенных с использованием индекса потребительских цен на очередной год и плановый период);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описание и место расположения (координаты) строящихся, реконструируемых и модернизируемых объектов, обеспечивающие однозначную их идентификацию;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основные технические характеристики объектов до и после реализации мероприятий инвестиционной программы;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перечень мероприятий по подготовке проектной документации для реализации мероприятий инвестиционной программы;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в) график реализации мероприятий инвестиционной программы с указанием сроков начала и окончания работ, этапов осуществления работ;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г) финансовый план регулируемой организации, составленный на период реализации инвестиционной программы, объем финансовых потребностей на реализацию каждого мероприятия инвестиционной программы и источники их финансирования на каждый год действия инвестиционной программы (в ценах последнего отчетного года, предшествующего году начала реализации инвестиционной программы, и в прогнозных ценах соответствующего года, определенных с использованием индекса потребительских цен на очередной год и плановый период. При отсутствии в указанном прогнозе индекса потребительских цен на очередной год применяется индекс за последний год, указанный в прогнозе);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д) предварительный расчет тарифов в области обращения с твердыми коммунальными отходами;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е) результаты технологического и ценового аудита (в случаях, предусмотренных законодательством Российской Федерации).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6. Мероприятия инвестиционной программы распределяются по следующим группам: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а) мероприятия инвестиционной программы в части обработки твердых коммунальных отходов;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б) мероприятия инвестиционной программы в части обезвреживания твердых коммунальных отходов;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в) мероприятия инвестиционной программы в части захоронения твердых коммунальных отходов.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7. В случае если на объекте осуществляется несколько регулируемых видов деятельности в области обращения с отходами, расходы на реализацию мероприятий инвестиционной программы учитываются по каждому виду деятельности отдельно.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8. В отношении объектов, на которые не утверждена проектная документация, указываются планируемые расходы на реализацию мероприятий инвестиционной программы. После утверждения проектной документации указанные расходы должны быть скорректированы в порядке, предусмотренном для корректировки инвестиционной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lastRenderedPageBreak/>
        <w:t>9. В отношении каждого объекта, используемого для захоронения твердых коммунальных отходов, должна быть указана его остаточная вместимость для захоронения твердых коммунальных отходов до и после осуществления мероприятия инвестиционной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10. В качестве источников финансирования инвестиционной программы могут быть указаны: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а) следующие учтенные при установлении тарифов регулируемой организации средства, направляемые на капитальные вложения: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амортизационные отчисления;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нормативная прибыль;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б) привлеченные средства - займы и кредиты;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в) средства бюджетов бюджетной системы Российской Федерации, в том числе: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средства, предусмотренные государственными программами Российской Федерации на выполнение инженерных изысканий, подготовку проектной документации для строительства объектов, на строительство и оснащение объектов, в случае если мероприятия инвестиционной программы включены в региональные программы в области обращения с отходами и территориальные схемы обращения с отходами;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расходы концедента на создание и (или) реконструкцию либо модернизацию объекта, являющегося предметом концессионного соглашения в соответствии с законодательством Российской Федерации о концессионных соглашениях;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г) прочие источники финансирования.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  <w:outlineLvl w:val="1"/>
      </w:pPr>
      <w:bookmarkStart w:id="2" w:name="P85"/>
      <w:bookmarkEnd w:id="2"/>
      <w:r>
        <w:t>III. Порядок разработки, согласования и утверждения</w:t>
      </w:r>
    </w:p>
    <w:p w:rsidR="00650B7F" w:rsidRDefault="00650B7F">
      <w:pPr>
        <w:pStyle w:val="ConsPlusNormal"/>
        <w:jc w:val="center"/>
      </w:pPr>
      <w:r>
        <w:t>инвестиционной программы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11. Регулируемая организация разрабатывает проект инвестиционной программы на основании территориальной схемы обращения с отходами.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12. Регулируемая организация направляет разработанный проект инвестиционной программы на утверждение в уполномоченный орган до 15 марта года, предшествующего первому году действия инвестиционной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13. Уполномоченный орган рассматривает проект инвестиционной программы в течение 20 рабочих дней.</w:t>
      </w:r>
    </w:p>
    <w:p w:rsidR="00650B7F" w:rsidRDefault="00650B7F">
      <w:pPr>
        <w:pStyle w:val="ConsPlusNormal"/>
        <w:spacing w:before="220"/>
        <w:ind w:firstLine="540"/>
        <w:jc w:val="both"/>
      </w:pPr>
      <w:bookmarkStart w:id="3" w:name="P91"/>
      <w:bookmarkEnd w:id="3"/>
      <w:r>
        <w:t>14. При рассмотрении проекта инвестиционной программы уполномоченный орган осуществляет: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 xml:space="preserve">а) проверку проекта инвестиционной программы на соответствие требованиям </w:t>
      </w:r>
      <w:hyperlink w:anchor="P51" w:history="1">
        <w:r>
          <w:rPr>
            <w:color w:val="0000FF"/>
          </w:rPr>
          <w:t>раздела II</w:t>
        </w:r>
      </w:hyperlink>
      <w:r>
        <w:t xml:space="preserve"> настоящих Правил;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б) проверку проекта инвестиционной программы на соответствие территориальной схеме обращения с отходами;</w:t>
      </w:r>
    </w:p>
    <w:p w:rsidR="00650B7F" w:rsidRDefault="00650B7F">
      <w:pPr>
        <w:pStyle w:val="ConsPlusNormal"/>
        <w:spacing w:before="220"/>
        <w:ind w:firstLine="540"/>
        <w:jc w:val="both"/>
      </w:pPr>
      <w:bookmarkStart w:id="4" w:name="P94"/>
      <w:bookmarkEnd w:id="4"/>
      <w:r>
        <w:t>в) проверку обоснованности расходов на реализацию мероприятий инвестиционной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 xml:space="preserve">15. В целях проверки обоснованности расходов на реализацию мероприятий инвестиционной программы уполномоченный орган вправе привлекать экспертов, проводить сравнения с расходами на реализацию аналогичных мероприятий, запрашивать котировки на </w:t>
      </w:r>
      <w:r>
        <w:lastRenderedPageBreak/>
        <w:t>товары, работы и услуги, закупаемые при реализации мероприятий инвестиционной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 xml:space="preserve">16. В случае несоответствия проекта инвестиционной программы требованиям </w:t>
      </w:r>
      <w:hyperlink w:anchor="P91" w:history="1">
        <w:r>
          <w:rPr>
            <w:color w:val="0000FF"/>
          </w:rPr>
          <w:t>пункта 14</w:t>
        </w:r>
      </w:hyperlink>
      <w:r>
        <w:t xml:space="preserve"> настоящих Правил уполномоченный орган направляет регулируемой организации уведомление об отказе в утверждении проекта инвестиционной программы с описанием выявленных несоответствий и приложением проекта инвестиционной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 xml:space="preserve">При наличии замечаний по </w:t>
      </w:r>
      <w:hyperlink w:anchor="P94" w:history="1">
        <w:r>
          <w:rPr>
            <w:color w:val="0000FF"/>
          </w:rPr>
          <w:t>подпункту "в" пункта 14</w:t>
        </w:r>
      </w:hyperlink>
      <w:r>
        <w:t xml:space="preserve"> настоящих Правил уполномоченный орган вправе истребовать у регулируемой организации обосновывающие расчеты.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17. Регулируемая организация обязана в течение 10 рабочих дней после получения уведомления об отказе в утверждении проекта инвестиционной программы доработать его и направить повторно в уполномоченный орган на утверждение или направить в уполномоченный орган проект инвестиционной программы и заявление об урегулировании разногласий.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 xml:space="preserve">Заявление об урегулировании разногласий рассматривается в порядке, предусмотренном </w:t>
      </w:r>
      <w:hyperlink w:anchor="P114" w:history="1">
        <w:r>
          <w:rPr>
            <w:color w:val="0000FF"/>
          </w:rPr>
          <w:t>разделом V</w:t>
        </w:r>
      </w:hyperlink>
      <w:r>
        <w:t xml:space="preserve"> настоящих Правил.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18. Повторное рассмотрение инвестиционной программы осуществляется в течение 10 рабочих дней со дня ее представления регулируемой организацией в уполномоченный орган.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19. Уполномоченный орган утверждает инвестиционную программу до 30 октября года, предшествующего периоду начала реализации инвестиционной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20. Утвержденная инвестиционная программа подлежит официальному опубликованию в порядке, предусмотренном для официального опубликования актов органов государственной власти субъектов Российской Федерации.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  <w:outlineLvl w:val="1"/>
      </w:pPr>
      <w:r>
        <w:t>IV. Корректировка инвестиционной программы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21. Для осуществления корректировки инвестиционной программы регулируемая организация представляет в уполномоченный орган проект изменений, которые вносятся в инвестиционную программу и должны содержать предложения о включении (исключении) в инвестиционную программу мероприятий инвестиционной программы, переносе сроков их реализации, сведения об изменении объемов финансирования мероприятий инвестиционной программы, а также материалы и документы, обосновывающие необходимость корректировки инвестиционной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 xml:space="preserve">22. Внесение изменений в инвестиционную программу, а также отказ в ее корректировке осуществляются в порядке и на основаниях, которые установлены </w:t>
      </w:r>
      <w:hyperlink w:anchor="P85" w:history="1">
        <w:r>
          <w:rPr>
            <w:color w:val="0000FF"/>
          </w:rPr>
          <w:t>разделом III</w:t>
        </w:r>
      </w:hyperlink>
      <w:r>
        <w:t xml:space="preserve"> настоящих Правил. При этом регулируемая организация вправе обратиться с предложением о внесении корректировок в инвестиционную программу в любое время, а уполномоченный орган обязан принять решение о корректировке или об отказе в корректировке инвестиционной программы в течение 30 рабочих дней со дня поступления проекта изменений, которые вносятся в инвестиционную программу.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23. В случае внесения изменений в территориальную схему обращения с отходами, влекущих изменение инвестиционной программы, регулируемая организация обязана обратиться в уполномоченный орган для внесения соответствующих изменений в инвестиционную программу.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24. В случае заключения регулируемой организацией концессионного соглашения при изменении инвестиционной программы объем инвестиций, которые концессионер обязуется привлечь для финансирования инвестиционной программы, изменению не подлежит.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 xml:space="preserve">25. Регулируемая организация вправе принять решение о перераспределении объемов </w:t>
      </w:r>
      <w:r>
        <w:lastRenderedPageBreak/>
        <w:t>финансовых потребностей между мероприятиями инвестиционной программы в пределах 10 процентов общего объема финансовых потребностей, предусмотренного на ее реализацию, при условии, что такое перераспределение не повлечет увеличение общего объема финансовых потребностей на реализацию инвестиционной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Регулируемая организация вправе принять решение об изменении общего объема финансовых потребностей на реализацию инвестиционной программы в пределах 5 процентов в год в связи с изменением индекса потребительских цен по сравнению с индексом, учтенным при утверждении инвестиционной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В течение 7 дней со дня принятия решения о перераспределении и (или) изменении объемов финансовых потребностей на реализацию инвестиционной программы регулируемая организация уведомляет об этом уполномоченный орган с представлением обоснования принятия такого решения.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  <w:outlineLvl w:val="1"/>
      </w:pPr>
      <w:bookmarkStart w:id="5" w:name="P114"/>
      <w:bookmarkEnd w:id="5"/>
      <w:r>
        <w:t>V. Рассмотрение разногласий при утверждении</w:t>
      </w:r>
    </w:p>
    <w:p w:rsidR="00650B7F" w:rsidRDefault="00650B7F">
      <w:pPr>
        <w:pStyle w:val="ConsPlusNormal"/>
        <w:jc w:val="center"/>
      </w:pPr>
      <w:r>
        <w:t>инвестиционных программ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26. Для урегулирования разногласий в процессе утверждения проектов инвестиционных программ в субъекте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создается согласительная комиссия, действующая на постоянной основе.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27. В состав согласительной комиссии обязательно включаются представители органов исполнительной власти субъекта Российской Федерации, представители территориального органа Федеральной антимонопольной службы, представители научных и экспертных организаций в сфере деятельности по обращению с твердыми коммунальными отходами и в иных смежных сферах.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К работе согласительной комиссии приглашаются представители органов местного самоуправления муниципальных образований, на территории которых планируется реализовать инвестиционную программу, разногласия по которой подлежат рассмотрению.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28. Состав согласительной комиссии и регламент ее работы утверждаются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29. Поступившие от регулируемых организаций заявления об урегулировании разногласий уполномоченный орган обязан передать на рассмотрение согласительной комиссии.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30. Регулируемая организация прилагает к заявлению об урегулировании разногласий проект инвестиционной программы, описание разногласий и обоснование своей позиции.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31. При рассмотрении разногласий согласительная комиссия вправе запрашивать у регулируемой организации, уполномоченного органа дополнительные сведения.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32. Рассмотрение разногласий прекращается до вынесения решения в случае: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а) ликвидации регулируемой организации;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б) отзыва регулируемой организацией заявления об урегулировании разногласий.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33. Рассмотрение разногласий осуществляется на согласительных совещаниях с участием представителей регулируемой организации, которые должны быть извещены о дате, времени и месте проведения согласительного совещания не позднее чем за 3 рабочих дня до дня его проведения.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lastRenderedPageBreak/>
        <w:t>34. Ход рассмотрения разногласий отражается в протоколе, в котором указываются: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а) дата и место рассмотрения разногласий;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б) существо рассматриваемого вопроса;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в) сведения о документах, удостоверяющих личность и подтверждающих полномочия лиц, участвующих в рассмотрении разногласий;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г) устные заявления лиц, участвующих в рассмотрении разногласий;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д) сведения о материалах, которые были исследованы в процессе рассмотрения разногласий;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е) иные сведения, явившиеся основанием для принятия решения;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ж) принятое решение, содержащее описательную, мотивировочную и резолютивную части.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35. Копия протокола в соответствии с регламентом работы согласительной комиссии в течение 5 рабочих дней со дня подписания протокола согласительного совещания направляется регулируемой организации.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36. По итогам рассмотрения разногласий должно быть вынесено решение об утверждении инвестиционной программы либо об отказе в ее утверждении.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37. Решение согласительной комиссии, принятое по результатам рассмотрения разногласий, является обязательным для уполномоченного органа и регулируемой организации и подлежит исполнению в течение 20 рабочих дней со дня его принятия, если в решении не указан иной срок.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38. Решение согласительной комиссии об отказе в утверждении инвестиционной программы, принятое по результатам рассмотрения разногласий, может быть обжаловано в судебном порядке.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right"/>
        <w:outlineLvl w:val="0"/>
      </w:pPr>
      <w:r>
        <w:t>Утверждены</w:t>
      </w:r>
    </w:p>
    <w:p w:rsidR="00650B7F" w:rsidRDefault="00650B7F">
      <w:pPr>
        <w:pStyle w:val="ConsPlusNormal"/>
        <w:jc w:val="right"/>
      </w:pPr>
      <w:r>
        <w:t>постановлением Правительства</w:t>
      </w:r>
    </w:p>
    <w:p w:rsidR="00650B7F" w:rsidRDefault="00650B7F">
      <w:pPr>
        <w:pStyle w:val="ConsPlusNormal"/>
        <w:jc w:val="right"/>
      </w:pPr>
      <w:r>
        <w:t>Российской Федерации</w:t>
      </w:r>
    </w:p>
    <w:p w:rsidR="00650B7F" w:rsidRDefault="00650B7F">
      <w:pPr>
        <w:pStyle w:val="ConsPlusNormal"/>
        <w:jc w:val="right"/>
      </w:pPr>
      <w:r>
        <w:t>от 16 мая 2016 г. N 424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Title"/>
        <w:jc w:val="center"/>
      </w:pPr>
      <w:bookmarkStart w:id="6" w:name="P150"/>
      <w:bookmarkEnd w:id="6"/>
      <w:r>
        <w:t>ПРАВИЛА</w:t>
      </w:r>
    </w:p>
    <w:p w:rsidR="00650B7F" w:rsidRDefault="00650B7F">
      <w:pPr>
        <w:pStyle w:val="ConsPlusTitle"/>
        <w:jc w:val="center"/>
      </w:pPr>
      <w:r>
        <w:t>РАЗРАБОТКИ, СОГЛАСОВАНИЯ, УТВЕРЖДЕНИЯ И КОРРЕКТИРОВКИ</w:t>
      </w:r>
    </w:p>
    <w:p w:rsidR="00650B7F" w:rsidRDefault="00650B7F">
      <w:pPr>
        <w:pStyle w:val="ConsPlusTitle"/>
        <w:jc w:val="center"/>
      </w:pPr>
      <w:r>
        <w:t>ПРОИЗВОДСТВЕННЫХ ПРОГРАММ В ОБЛАСТИ ОБРАЩЕНИЯ С ТВЕРДЫМИ</w:t>
      </w:r>
    </w:p>
    <w:p w:rsidR="00650B7F" w:rsidRDefault="00650B7F">
      <w:pPr>
        <w:pStyle w:val="ConsPlusTitle"/>
        <w:jc w:val="center"/>
      </w:pPr>
      <w:r>
        <w:t>КОММУНАЛЬНЫМИ ОТХОДАМИ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  <w:outlineLvl w:val="1"/>
      </w:pPr>
      <w:r>
        <w:t>I. Общие положения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1. Настоящие Правила устанавливают порядок разработки, согласования, утверждения и корректировки производственных программ в области обращения с твердыми коммунальными отходами (далее - производственные программы) операторов по обращению с твердыми коммунальными отходами, осуществляющих регулируемые виды деятельности по обращению с твердыми коммунальными отходами (далее - регулируемые организации), требования к содержанию производственных программ, а также процедуру рассмотрения разногласий при их утверждении.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lastRenderedPageBreak/>
        <w:t>2. Проект производственной программы разрабатывается регулируемой организацией и утверждается уполномоченным органом исполнительной власти субъекта Российской Федерации в области государственного регулирования тарифов (далее - уполномоченный орган).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3. Производственная программа разрабатывается на срок действия регулируемых тарифов регулируемой организации.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4. В производственную программу подлежат включению мероприятия, осуществляемые регулируемой организацией в рамках текущей (операционной) деятельности, а также мероприятия, обеспечивающие поддержание объектов, используемых для обработки, обезвреживания и захоронения твердых коммунальных отходов (далее соответственно - мероприятия производственной программы, объекты), в состоянии, соответствующем установленным требованиям технических регламентов. В производственную программу не включаются мероприятия по строительству, реконструкции и модернизации объектов.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  <w:outlineLvl w:val="1"/>
      </w:pPr>
      <w:bookmarkStart w:id="7" w:name="P162"/>
      <w:bookmarkEnd w:id="7"/>
      <w:r>
        <w:t>II. Требования к содержанию производственной программы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5. Производственная программа включает в себя: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а) паспорт производственной программы, содержащий следующую информацию: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наименование регулируемой организации, ее местонахождение и контакты ответственных лиц;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наименование уполномоченного органа, его местонахождение и контакты ответственных лиц;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период реализации производственной программы;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б) перечень мероприятий производственной программы;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в) планируемый объем обрабатываемых, обезвреживаемых и размещаемых твердых коммунальных отходов;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г) объем финансовых потребностей, необходимых для реализации производственной программы;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д) график реализации мероприятий производственной программы;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е) плановые и фактические значения показателей эффективности объектов;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ж) отчет об исполнении производственной программы за истекший период регулирования (за истекший год долгосрочного периода регулирования).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6. Мероприятия производственной программы включают в себя: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а) текущую эксплуатацию объектов;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б) текущий и (или) капитальный ремонт объектов.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  <w:outlineLvl w:val="1"/>
      </w:pPr>
      <w:r>
        <w:t>III. Порядок разработки, согласования, утверждения</w:t>
      </w:r>
    </w:p>
    <w:p w:rsidR="00650B7F" w:rsidRDefault="00650B7F">
      <w:pPr>
        <w:pStyle w:val="ConsPlusNormal"/>
        <w:jc w:val="center"/>
      </w:pPr>
      <w:r>
        <w:t>и корректировки производственной программы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7. Регулируемая организация разрабатывает проект производственной программы, исходя из необходимости обеспечения работы объектов в соответствии с законодательством Российской Федерации.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lastRenderedPageBreak/>
        <w:t>8. Регулируемая организация направляет проект производственной программы на утверждение в уполномоченный орган до 1 мая года, предшествующего году начала периода реализации производственной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 xml:space="preserve">9. Уполномоченный орган в течение 20 рабочих дней со дня получения проекта производственной программы проверяет ее на соответствие требованиям </w:t>
      </w:r>
      <w:hyperlink w:anchor="P162" w:history="1">
        <w:r>
          <w:rPr>
            <w:color w:val="0000FF"/>
          </w:rPr>
          <w:t>раздела II</w:t>
        </w:r>
      </w:hyperlink>
      <w:r>
        <w:t xml:space="preserve"> настоящих Правил.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В случае несоответствия проекта производственной программы указанным требованиям уполномоченный орган направляет регулируемой организации уведомление об отказе в утверждении проекта производственной программы с описанием выявленных несоответствий и приложением проекта производственной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10. Регулируемая организация обязана в течение 10 рабочих дней после получения уведомления об отказе в утверждении проекта производственной программы доработать его и направить повторно в уполномоченный орган или направить в уполномоченный орган заявление об урегулировании разногласий.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 xml:space="preserve">Заявление об урегулировании разногласий рассматривается в порядке, предусмотренном </w:t>
      </w:r>
      <w:hyperlink w:anchor="P197" w:history="1">
        <w:r>
          <w:rPr>
            <w:color w:val="0000FF"/>
          </w:rPr>
          <w:t>разделом IV</w:t>
        </w:r>
      </w:hyperlink>
      <w:r>
        <w:t xml:space="preserve"> настоящих Правил.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11. Рассмотрение доработанного проекта производственной программы осуществляется уполномоченным органом в течение 10 рабочих дней со дня его повторного получения.</w:t>
      </w:r>
    </w:p>
    <w:p w:rsidR="00650B7F" w:rsidRDefault="00650B7F">
      <w:pPr>
        <w:pStyle w:val="ConsPlusNormal"/>
        <w:spacing w:before="220"/>
        <w:ind w:firstLine="540"/>
        <w:jc w:val="both"/>
      </w:pPr>
      <w:bookmarkStart w:id="9" w:name="P189"/>
      <w:bookmarkEnd w:id="9"/>
      <w:r>
        <w:t>12. Уполномоченный орган вправе привлекать к рассмотрению производственной программы независимые организации в целях анализа ее обоснованности.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13. Уполномоченный орган утверждает производственную программу в срок не позднее 1 декабря года, предшествующего году начала реализации производственной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14. Финансовые потребности на реализацию производственной программы учитываются при установлении тарифов в порядке, установленном основами ценообразования в области обращения с твердыми коммунальными отходами, утверждаемыми Правительством Российской Федерации.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15. Для осуществления корректировки производственной программы регулируемая организация представляет в уполномоченный орган проект изменений, которые вносятся в производственную программу и должны содержать предложения о включении (исключении) в производственную программу мероприятий производственной программы, переносе сроков их реализации, сведения об изменении объемов финансирования мероприятий производственной программы, а также материалы и документы, обосновывающие необходимость корректировки производственной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Предложения о корректировке утвержденной производственной программы вносятся регулируемой организацией в случае изменения условий реализации мероприятий производственной программы, ведущих к росту расходов на их реализацию, в том числе в случае изменения законодательства Российской Федерации, влияющего на условия реализации производственной программы.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 xml:space="preserve">16. Рассмотрение и утверждение уполномоченным органом проекта изменений, которые вносятся в производственную программу, осуществляются в порядке, предусмотренном </w:t>
      </w:r>
      <w:hyperlink w:anchor="P186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189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17. Утвержденная производственная программа подлежит опубликованию в порядке, предусмотренном для официального опубликования актов органов государственной власти субъектов Российской Федерации.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  <w:outlineLvl w:val="1"/>
      </w:pPr>
      <w:bookmarkStart w:id="10" w:name="P197"/>
      <w:bookmarkEnd w:id="10"/>
      <w:r>
        <w:t>IV. Рассмотрение разногласий при утверждении</w:t>
      </w:r>
    </w:p>
    <w:p w:rsidR="00650B7F" w:rsidRDefault="00650B7F">
      <w:pPr>
        <w:pStyle w:val="ConsPlusNormal"/>
        <w:jc w:val="center"/>
      </w:pPr>
      <w:r>
        <w:t>производственных программ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18. Форма заявления об урегулировании разногласий и перечень прилагаемых документов определяются уполномоченным органом.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19. Рассмотрение разногласий подлежит приостановлению в случае необходимости получения дополнительных сведений.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20. Возобновление рассмотрения разногласий осуществляется после устранения причин, послуживших основанием для приостановления рассмотрения разногласий.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Приостановление и возобновление рассмотрения разногласий осуществляются на основании решения уполномоченного органа в форме приказа.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Причины приостановления рассмотрения разногласий должны быть указаны в решении уполномоченного органа о приостановлении рассмотрения разногласий.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Решение о приостановлении (возобновлении) рассмотрения разногласий принимается в течение 3 рабочих дней со дня возникновения (устранения) указанных обстоятельств.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21. Рассмотрение разногласий прекращается до вынесения решения в случае: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а) ликвидации регулируемой организации;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б) отзыва регулируемой организацией заявления об урегулировании разногласий;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в) выявления в ходе рассмотрения разногласий (в том числе по результатам проведения экспертизы) обстоятельств, свидетельствующих о том, что рассмотрение вопросов, содержащихся в заявлении об урегулировании разногласий, не относится к компетенции уполномоченного органа.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22. Копия решения уполномоченного органа о приостановлении, возобновлении или прекращении рассмотрения разногласий в течение 3 рабочих дней со дня его принятия направляется регулируемой организации и должно содержать описательную, мотивировочную и резолютивную части.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23. Рассмотрение разногласий осуществляется на согласительных совещаниях с участием представителей уполномоченного органа, органов местного самоуправления муниципальных образований, на территории которых регулируемая организация реализует производственную программу, независимых организаций с приглашением представителей регулируемой организации.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Представители указанных органов и организаций должны быть извещены о дате, времени и месте проведения согласительного совещания не позднее чем за 5 рабочих дней до дня его проведения.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24. Ход рассмотрения разногласий отражается в протоколе, в котором указываются: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а) дата и место рассмотрения разногласий;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б) существо рассматриваемого вопроса;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lastRenderedPageBreak/>
        <w:t>в) сведения о документах, удостоверяющих личность и подтверждающих полномочия лиц, участвующих в рассмотрении разногласий;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г) устные заявления лиц, участвующих в рассмотрении разногласий;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д) сведения о материалах, которые были исследованы в процессе рассмотрения разногласий;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е) иные сведения, явившиеся основанием для принятия решения;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ж) принятое решение, содержащее описательную, мотивировочную и резолютивную части.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25. Копия протокола в течение 5 рабочих дней со дня его подписания направляется регулируемой организации.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26. По итогам рассмотрения разногласий должно быть вынесено решение об утверждении производственной программы либо об отказе в ее утверждении.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27. Решение, принятое по результатам рассмотрения разногласий, является обязательным для уполномоченного органа и регулируемой организации и подлежит исполнению в течение 20 рабочих дней со дня его принятия, если в решении не указан иной срок.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28. Решение об отказе в утверждении производственной программы, принятое по результатам рассмотрения разногласий, может быть обжаловано в судебном порядке.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right"/>
        <w:outlineLvl w:val="0"/>
      </w:pPr>
      <w:r>
        <w:t>Утверждены</w:t>
      </w:r>
    </w:p>
    <w:p w:rsidR="00650B7F" w:rsidRDefault="00650B7F">
      <w:pPr>
        <w:pStyle w:val="ConsPlusNormal"/>
        <w:jc w:val="right"/>
      </w:pPr>
      <w:r>
        <w:t>постановлением Правительства</w:t>
      </w:r>
    </w:p>
    <w:p w:rsidR="00650B7F" w:rsidRDefault="00650B7F">
      <w:pPr>
        <w:pStyle w:val="ConsPlusNormal"/>
        <w:jc w:val="right"/>
      </w:pPr>
      <w:r>
        <w:t>Российской Федерации</w:t>
      </w:r>
    </w:p>
    <w:p w:rsidR="00650B7F" w:rsidRDefault="00650B7F">
      <w:pPr>
        <w:pStyle w:val="ConsPlusNormal"/>
        <w:jc w:val="right"/>
      </w:pPr>
      <w:r>
        <w:t>от 16 мая 2016 г. N 424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Title"/>
        <w:jc w:val="center"/>
      </w:pPr>
      <w:bookmarkStart w:id="11" w:name="P236"/>
      <w:bookmarkEnd w:id="11"/>
      <w:r>
        <w:t>ПРАВИЛА</w:t>
      </w:r>
    </w:p>
    <w:p w:rsidR="00650B7F" w:rsidRDefault="00650B7F">
      <w:pPr>
        <w:pStyle w:val="ConsPlusTitle"/>
        <w:jc w:val="center"/>
      </w:pPr>
      <w:r>
        <w:t>ОПРЕДЕЛЕНИЯ ПЛАНОВЫХ И ФАКТИЧЕСКИХ ЗНАЧЕНИЙ ПОКАЗАТЕЛЕЙ</w:t>
      </w:r>
    </w:p>
    <w:p w:rsidR="00650B7F" w:rsidRDefault="00650B7F">
      <w:pPr>
        <w:pStyle w:val="ConsPlusTitle"/>
        <w:jc w:val="center"/>
      </w:pPr>
      <w:r>
        <w:t>ЭФФЕКТИВНОСТИ ОБЪЕКТОВ, ИСПОЛЬЗУЕМЫХ ДЛЯ ОБРАБОТКИ,</w:t>
      </w:r>
    </w:p>
    <w:p w:rsidR="00650B7F" w:rsidRDefault="00650B7F">
      <w:pPr>
        <w:pStyle w:val="ConsPlusTitle"/>
        <w:jc w:val="center"/>
      </w:pPr>
      <w:r>
        <w:t>ОБЕЗВРЕЖИВАНИЯ И ЗАХОРОНЕНИЯ ТВЕРДЫХ</w:t>
      </w:r>
    </w:p>
    <w:p w:rsidR="00650B7F" w:rsidRDefault="00650B7F">
      <w:pPr>
        <w:pStyle w:val="ConsPlusTitle"/>
        <w:jc w:val="center"/>
      </w:pPr>
      <w:r>
        <w:t>КОММУНАЛЬНЫХ ОТХОДОВ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  <w:outlineLvl w:val="1"/>
      </w:pPr>
      <w:r>
        <w:t>I. Общие положения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1. Настоящие Правила устанавливают перечень показателей эффективности объектов, используемых для обработки, обезвреживания и захоронения твердых коммунальных отходов (далее - объекты), процедуры определения плановых и фактических значений таких показателей.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2. Периодом расчета плановых и фактических значений показателей эффективности объектов является один календарный год.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  <w:outlineLvl w:val="1"/>
      </w:pPr>
      <w:r>
        <w:t>II. Определение показателей эффективности объектов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3. К показателям эффективности объектов, используемых для захоронения твердых коммунальных отходов, относятся: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 xml:space="preserve"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</w:t>
      </w:r>
      <w:r>
        <w:lastRenderedPageBreak/>
        <w:t>общем объеме таких проб;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б) количество возгораний твердых коммунальных отходов в расчете на единицу площади объекта, используемого для захоронения твердых коммунальных отходов.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4. Показателем эффективности объектов, используемых для обработки твердых коммунальных отходов, является доля твердых коммунальных отходов, направляемых на утилизацию, в массе твердых коммунальных отходов, принятых на обработку.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5. К показателям эффективности объектов, используемых для обезвреживания твердых коммунальных отходов, относятся: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а) показатель снижения класса опасности твердых коммунальных отходов;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б) количество выработанной и отпущенной в сеть тепловой и электрической энергии, топлива, полученного из твердых коммунальных отходов, в расчете на 1 тонну твердых коммунальных отходов, поступивших на объект, используемый для обезвреживания твердых коммунальных отходов;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в)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проб.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  <w:outlineLvl w:val="1"/>
      </w:pPr>
      <w:r>
        <w:t>III. Определение плановых значений показателей</w:t>
      </w:r>
    </w:p>
    <w:p w:rsidR="00650B7F" w:rsidRDefault="00650B7F">
      <w:pPr>
        <w:pStyle w:val="ConsPlusNormal"/>
        <w:jc w:val="center"/>
      </w:pPr>
      <w:r>
        <w:t>эффективности объектов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6. Плановые значения показателей эффективности объектов устанавливаются уполномоченным органом на основании предложения оператора, осуществляющего регулируемые виды деятельности в сфере обращения с отходами и эксплуатирующего объекты (далее - регулируемая организация), исходя из: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 xml:space="preserve">а) фактических значений показателей эффективности за предыдущие 3 года, определенных в порядке, установленном </w:t>
      </w:r>
      <w:hyperlink w:anchor="P274" w:history="1">
        <w:r>
          <w:rPr>
            <w:color w:val="0000FF"/>
          </w:rPr>
          <w:t>разделом IV</w:t>
        </w:r>
      </w:hyperlink>
      <w:r>
        <w:t xml:space="preserve"> настоящих Правил;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б) требований к объектам, используемым для размещения твердых коммунальных отходов, утверждаемых Правительством Российской Федерации (для объектов, используемых для захоронения твердых коммунальных отходов);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в) сравнения плановых значений показателей эффективности с показателями аналогичных объектов, расположенных на территории одного субъекта Российской Федерации, или сравнения технологий, применяемых на объекте с наилучшими доступными технологиями в соответствии с информационно-техническими справочниками по наилучшим доступным технологиям, утверждаемыми уполномоченным федеральным органом исполнительной власти;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г) утвержденных территориальных схем по обращению с отходами, в том числе с твердыми коммунальными отходами;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д) обязательств регулируемой организации, предусмотренных концессионными соглашениями, инвестиционными договорами и (или) государственными контрактами, соглашением между органом государственной власти субъекта Российской Федерации и региональным оператором по обращению с твердыми коммунальными отходами.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7. Плановые значения показателей эффективности объектов определяются исходя из мероприятий, включенных в инвестиционную и производственную программы регулируемой организации.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lastRenderedPageBreak/>
        <w:t>8. Плановые значения показателей эффективности объектов подлежат корректировке в случае внесения изменений в инвестиционную и (или) производственную программы регулируемой организации в соответствии с вносимыми изменениями.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9. Плановые значения показателей эффективности регулируемой организации, осуществляющей деятельность на основе концессионного соглашения, устанавливаются в соответствии с концессионным соглашением, если значения таких показателей устанавливались в концессионном соглашении.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10. В случае если в отношении объекта не предусматриваются мероприятия по реконструкции, модернизации, капитальному или текущему ремонту в соответствующем году, плановые значения показателей эффективности объекта определяются на уровне, который не ниже фактических значений показателей.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11. Плановые значения показателей эффективности объектов определяются в отношении каждого объекта.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12. Плановые значения показателей эффективности объекта устанавливаются на каждый год в течение срока действия производственной программы регулируемой организации в соответствии с инвестиционной программой.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  <w:outlineLvl w:val="1"/>
      </w:pPr>
      <w:bookmarkStart w:id="12" w:name="P274"/>
      <w:bookmarkEnd w:id="12"/>
      <w:r>
        <w:t>IV. Определение фактических значений показателей</w:t>
      </w:r>
    </w:p>
    <w:p w:rsidR="00650B7F" w:rsidRDefault="00650B7F">
      <w:pPr>
        <w:pStyle w:val="ConsPlusNormal"/>
        <w:jc w:val="center"/>
      </w:pPr>
      <w:r>
        <w:t>эффективности объектов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13. Фактические показатели эффективности объекта определяются в отношении каждого объекта.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14.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проб на объекте, используемом для обезвреживания или захоронения твердых коммунальных отходов, в году t(Дэк</w:t>
      </w:r>
      <w:r>
        <w:rPr>
          <w:vertAlign w:val="subscript"/>
        </w:rPr>
        <w:t>t</w:t>
      </w:r>
      <w:r>
        <w:t>), процентов, определяется по формуле 1: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</w:pPr>
      <w:r w:rsidRPr="00FC6607">
        <w:rPr>
          <w:position w:val="-28"/>
        </w:rPr>
        <w:pict>
          <v:shape id="_x0000_i1025" style="width:107.25pt;height:39.75pt" coordsize="" o:spt="100" adj="0,,0" path="" filled="f" stroked="f">
            <v:stroke joinstyle="miter"/>
            <v:imagedata r:id="rId10" o:title="base_1_198048_32768"/>
            <v:formulas/>
            <v:path o:connecttype="segments"/>
          </v:shape>
        </w:pict>
      </w:r>
      <w:r>
        <w:t>,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где:</w:t>
      </w:r>
    </w:p>
    <w:p w:rsidR="00650B7F" w:rsidRDefault="00650B7F">
      <w:pPr>
        <w:pStyle w:val="ConsPlusNormal"/>
        <w:spacing w:before="220"/>
        <w:ind w:firstLine="540"/>
        <w:jc w:val="both"/>
      </w:pPr>
      <w:r w:rsidRPr="00FC6607">
        <w:rPr>
          <w:position w:val="-10"/>
        </w:rPr>
        <w:pict>
          <v:shape id="_x0000_i1026" style="width:27.75pt;height:21.75pt" coordsize="" o:spt="100" adj="0,,0" path="" filled="f" stroked="f">
            <v:stroke joinstyle="miter"/>
            <v:imagedata r:id="rId11" o:title="base_1_198048_32769"/>
            <v:formulas/>
            <v:path o:connecttype="segments"/>
          </v:shape>
        </w:pict>
      </w:r>
      <w:r>
        <w:t xml:space="preserve"> - количество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году t;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Кэк</w:t>
      </w:r>
      <w:r>
        <w:rPr>
          <w:vertAlign w:val="subscript"/>
        </w:rPr>
        <w:t>t</w:t>
      </w:r>
      <w:r>
        <w:t xml:space="preserve"> - общее количество проб подземных вод, почвы и воздуха, отобранных по результатам производственного экологического контроля в году t.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15. Количество возгораний твердых коммунальных отходов на объекте, используемом для захоронения отходов, в расчете на площадь объекта в году t (Двз</w:t>
      </w:r>
      <w:r>
        <w:rPr>
          <w:vertAlign w:val="subscript"/>
        </w:rPr>
        <w:t>t</w:t>
      </w:r>
      <w:r>
        <w:t>), штук на гектар, определяется по формуле 2: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</w:pPr>
      <w:r w:rsidRPr="00FC6607">
        <w:rPr>
          <w:position w:val="-26"/>
        </w:rPr>
        <w:pict>
          <v:shape id="_x0000_i1027" style="width:66pt;height:38.25pt" coordsize="" o:spt="100" adj="0,,0" path="" filled="f" stroked="f">
            <v:stroke joinstyle="miter"/>
            <v:imagedata r:id="rId12" o:title="base_1_198048_32770"/>
            <v:formulas/>
            <v:path o:connecttype="segments"/>
          </v:shape>
        </w:pict>
      </w:r>
      <w:r>
        <w:t>,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где: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lastRenderedPageBreak/>
        <w:t>Квз</w:t>
      </w:r>
      <w:r>
        <w:rPr>
          <w:vertAlign w:val="subscript"/>
        </w:rPr>
        <w:t>t</w:t>
      </w:r>
      <w:r>
        <w:t xml:space="preserve"> - количество возгораний твердых коммунальных отходов, зафиксированное на объекте, используемом для захоронения твердых коммунальных отходов, в году t.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Количество возгораний твердых коммунальных отходов фиксируется в актах, которые составляет регулируемая организация. В случае обнаружения факта возгорания, не задокументированного регулируемой организацией, такое возгорание учитывается с коэффициентом 10;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t</w:t>
      </w:r>
      <w:r>
        <w:t xml:space="preserve"> - площадь объекта в году t (гектаров). Площадь объекта, используемого для захоронения твердых коммунальных отходов, определяется в соответствии с проектной документацией.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16. Доля твердых коммунальных отходов, направленных на утилизацию, в массе твердых коммунальных отходов, принятых на обработку (Доб</w:t>
      </w:r>
      <w:r>
        <w:rPr>
          <w:vertAlign w:val="subscript"/>
        </w:rPr>
        <w:t>t</w:t>
      </w:r>
      <w:r>
        <w:t>), процентов, определяется по формуле 3: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</w:pPr>
      <w:r w:rsidRPr="00FC6607">
        <w:rPr>
          <w:position w:val="-26"/>
        </w:rPr>
        <w:pict>
          <v:shape id="_x0000_i1028" style="width:72.75pt;height:38.25pt" coordsize="" o:spt="100" adj="0,,0" path="" filled="f" stroked="f">
            <v:stroke joinstyle="miter"/>
            <v:imagedata r:id="rId13" o:title="base_1_198048_32771"/>
            <v:formulas/>
            <v:path o:connecttype="segments"/>
          </v:shape>
        </w:pict>
      </w:r>
      <w:r>
        <w:t>,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где: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Мут</w:t>
      </w:r>
      <w:r>
        <w:rPr>
          <w:vertAlign w:val="subscript"/>
        </w:rPr>
        <w:t>t</w:t>
      </w:r>
      <w:r>
        <w:t xml:space="preserve"> - масса вторичных ресурсов, полученных в результате утилизации твердых коммунальных отходов в году t, тонн;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Мро</w:t>
      </w:r>
      <w:r>
        <w:rPr>
          <w:vertAlign w:val="subscript"/>
        </w:rPr>
        <w:t>t</w:t>
      </w:r>
      <w:r>
        <w:t xml:space="preserve"> - масса твердых коммунальных отходов, поступившая на объект, используемый для обработки твердых коммунальных отходов, в году t, тонн.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17. Показатель снижения класса опасности твердых коммунальных отходов (Доб</w:t>
      </w:r>
      <w:r>
        <w:rPr>
          <w:vertAlign w:val="subscript"/>
        </w:rPr>
        <w:t>t</w:t>
      </w:r>
      <w:r>
        <w:t>), процентов, рассчитывается по формуле 4: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</w:pPr>
      <w:r w:rsidRPr="00FC6607">
        <w:rPr>
          <w:position w:val="-30"/>
        </w:rPr>
        <w:pict>
          <v:shape id="_x0000_i1029" style="width:167.25pt;height:41.25pt" coordsize="" o:spt="100" adj="0,,0" path="" filled="f" stroked="f">
            <v:stroke joinstyle="miter"/>
            <v:imagedata r:id="rId14" o:title="base_1_198048_32772"/>
            <v:formulas/>
            <v:path o:connecttype="segments"/>
          </v:shape>
        </w:pict>
      </w:r>
      <w:r>
        <w:t>,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где: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i - класс опасности отходов (1 - 5);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Мро</w:t>
      </w:r>
      <w:r>
        <w:rPr>
          <w:vertAlign w:val="subscript"/>
        </w:rPr>
        <w:t>i</w:t>
      </w:r>
      <w:r>
        <w:t xml:space="preserve"> - масса твердых коммунальных отходов класса опасности i, поступивших на объект в году t, тонн;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Моб</w:t>
      </w:r>
      <w:r>
        <w:rPr>
          <w:vertAlign w:val="subscript"/>
        </w:rPr>
        <w:t>i</w:t>
      </w:r>
      <w:r>
        <w:t xml:space="preserve"> - масса твердых коммунальных отходов класса опасности i после обезвреживания в году t, тонн.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18. Количество выработанной и отпущенной в сеть тепловой и электрической энергии, топлива, полученного из твердых коммунальных отходов, в расчете на 1 тонну твердых коммунальных отходов, поступивших на объект, используемый для обезвреживания твердых коммунальных отходов, в году t (Эуд</w:t>
      </w:r>
      <w:r>
        <w:rPr>
          <w:vertAlign w:val="subscript"/>
        </w:rPr>
        <w:t>t</w:t>
      </w:r>
      <w:r>
        <w:t>), Дж/кг, рассчитывается по формуле 5: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center"/>
      </w:pPr>
      <w:r w:rsidRPr="00FC6607">
        <w:rPr>
          <w:position w:val="-26"/>
        </w:rPr>
        <w:pict>
          <v:shape id="_x0000_i1030" style="width:153.75pt;height:38.25pt" coordsize="" o:spt="100" adj="0,,0" path="" filled="f" stroked="f">
            <v:stroke joinstyle="miter"/>
            <v:imagedata r:id="rId15" o:title="base_1_198048_32773"/>
            <v:formulas/>
            <v:path o:connecttype="segments"/>
          </v:shape>
        </w:pict>
      </w:r>
      <w:r>
        <w:t>,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ind w:firstLine="540"/>
        <w:jc w:val="both"/>
      </w:pPr>
      <w:r>
        <w:t>где: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Ээ</w:t>
      </w:r>
      <w:r>
        <w:rPr>
          <w:vertAlign w:val="subscript"/>
        </w:rPr>
        <w:t>t</w:t>
      </w:r>
      <w:r>
        <w:t xml:space="preserve"> - количество выработанной электрической энергии, отпущенной в электрическую сеть в году t, Дж;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lastRenderedPageBreak/>
        <w:t>Тэ</w:t>
      </w:r>
      <w:r>
        <w:rPr>
          <w:vertAlign w:val="subscript"/>
        </w:rPr>
        <w:t>t</w:t>
      </w:r>
      <w:r>
        <w:t xml:space="preserve"> - количество выработанной тепловой энергии, отпущенной в тепловую сеть в году t, Дж;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Ут</w:t>
      </w:r>
      <w:r>
        <w:rPr>
          <w:vertAlign w:val="subscript"/>
        </w:rPr>
        <w:t>t</w:t>
      </w:r>
      <w:r>
        <w:t xml:space="preserve"> - удельная теплота сгорания топлива, произведенного из твердых коммунальных отходов в году t, Дж/кг;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t</w:t>
      </w:r>
      <w:r>
        <w:t xml:space="preserve"> - масса топлива, произведенного из твердых коммунальных отходов в году t, кг;</w:t>
      </w:r>
    </w:p>
    <w:p w:rsidR="00650B7F" w:rsidRDefault="00650B7F">
      <w:pPr>
        <w:pStyle w:val="ConsPlusNormal"/>
        <w:spacing w:before="220"/>
        <w:ind w:firstLine="540"/>
        <w:jc w:val="both"/>
      </w:pPr>
      <w:r>
        <w:t>Мэ</w:t>
      </w:r>
      <w:r>
        <w:rPr>
          <w:vertAlign w:val="subscript"/>
        </w:rPr>
        <w:t>t</w:t>
      </w:r>
      <w:r>
        <w:t xml:space="preserve"> - масса твердых коммунальных отходов, использованных для выработки тепловой и электрической энергии, производства топлива на объекте, используемом для обезвреживания твердых коммунальных отходов, в году t, кг.</w:t>
      </w: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jc w:val="both"/>
      </w:pPr>
    </w:p>
    <w:p w:rsidR="00650B7F" w:rsidRDefault="00650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BBF" w:rsidRDefault="001B1BBF">
      <w:bookmarkStart w:id="13" w:name="_GoBack"/>
      <w:bookmarkEnd w:id="13"/>
    </w:p>
    <w:sectPr w:rsidR="001B1BBF" w:rsidSect="003D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7F"/>
    <w:rsid w:val="001B1BBF"/>
    <w:rsid w:val="0065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A36AB2136BCCB154E2863C1CAE0C8A90A5747F0112EB4EECE8012EBB4F655BC922E298Ag8X7H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A36AB2136BCCB154E2863C1CAE0C8A90A5747F0112EB4EECE8012EBB4F655BC922E2F82g8X7H" TargetMode="Externa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A36AB2136BCCB154E2863C1CAE0C8A90B5741F11F2EB4EECE8012EBB4F655BC922E2C828E7930g9X9H" TargetMode="External"/><Relationship Id="rId11" Type="http://schemas.openxmlformats.org/officeDocument/2006/relationships/image" Target="media/image2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2A36AB2136BCCB154E2863C1CAE0C8A90B5741F11F2EB4EECE8012EBB4F655BC922E2C828E7930g9X9H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 Ирина Николаевна</dc:creator>
  <cp:lastModifiedBy>Сокол Ирина Николаевна</cp:lastModifiedBy>
  <cp:revision>1</cp:revision>
  <dcterms:created xsi:type="dcterms:W3CDTF">2018-05-31T07:23:00Z</dcterms:created>
  <dcterms:modified xsi:type="dcterms:W3CDTF">2018-05-31T07:24:00Z</dcterms:modified>
</cp:coreProperties>
</file>