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3" w:type="dxa"/>
        <w:tblInd w:w="-106" w:type="dxa"/>
        <w:tblLook w:val="01E0" w:firstRow="1" w:lastRow="1" w:firstColumn="1" w:lastColumn="1" w:noHBand="0" w:noVBand="0"/>
      </w:tblPr>
      <w:tblGrid>
        <w:gridCol w:w="7393"/>
        <w:gridCol w:w="8130"/>
      </w:tblGrid>
      <w:tr w:rsidR="000D02EF" w:rsidRPr="004979C2" w:rsidTr="003F6085">
        <w:trPr>
          <w:trHeight w:val="1540"/>
        </w:trPr>
        <w:tc>
          <w:tcPr>
            <w:tcW w:w="7393" w:type="dxa"/>
          </w:tcPr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0B6780" w:rsidRPr="00B31D41" w:rsidRDefault="000B6780" w:rsidP="000B6780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0B6780" w:rsidRPr="00B31D41" w:rsidRDefault="000B6780" w:rsidP="000B6780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D02EF" w:rsidRPr="004979C2" w:rsidRDefault="00403A47" w:rsidP="000B6780">
            <w:r>
              <w:rPr>
                <w:b/>
              </w:rPr>
              <w:t>«____»____________2018</w:t>
            </w:r>
          </w:p>
        </w:tc>
        <w:tc>
          <w:tcPr>
            <w:tcW w:w="8130" w:type="dxa"/>
          </w:tcPr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D02EF" w:rsidRPr="00D821C3" w:rsidRDefault="007818E5" w:rsidP="000D02EF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3F6085">
              <w:rPr>
                <w:b/>
              </w:rPr>
              <w:t xml:space="preserve"> ___</w:t>
            </w:r>
            <w:r w:rsidR="000D02EF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3F6085">
              <w:rPr>
                <w:b/>
              </w:rPr>
              <w:t>_________</w:t>
            </w:r>
            <w:r w:rsidR="000D02EF" w:rsidRPr="00D821C3">
              <w:rPr>
                <w:b/>
              </w:rPr>
              <w:t>201</w:t>
            </w:r>
            <w:r w:rsidR="00403A47">
              <w:rPr>
                <w:b/>
              </w:rPr>
              <w:t>8</w:t>
            </w:r>
            <w:r w:rsidR="00967721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3F6085">
              <w:rPr>
                <w:b/>
              </w:rPr>
              <w:t>____</w:t>
            </w:r>
            <w:r>
              <w:rPr>
                <w:b/>
              </w:rPr>
              <w:t xml:space="preserve"> </w:t>
            </w:r>
            <w:r w:rsidR="00403A47">
              <w:rPr>
                <w:b/>
                <w:u w:val="single"/>
              </w:rPr>
              <w:t xml:space="preserve">  </w:t>
            </w:r>
          </w:p>
          <w:p w:rsidR="000D02EF" w:rsidRPr="00D821C3" w:rsidRDefault="000D02EF" w:rsidP="000D02EF">
            <w:pPr>
              <w:jc w:val="right"/>
            </w:pPr>
          </w:p>
          <w:p w:rsidR="000D02EF" w:rsidRPr="004979C2" w:rsidRDefault="000D02EF" w:rsidP="000D02EF">
            <w:pPr>
              <w:jc w:val="right"/>
              <w:rPr>
                <w:b/>
              </w:rPr>
            </w:pPr>
          </w:p>
          <w:p w:rsidR="000D02EF" w:rsidRPr="004979C2" w:rsidRDefault="000D02EF" w:rsidP="000D02EF">
            <w:pPr>
              <w:jc w:val="right"/>
            </w:pPr>
          </w:p>
        </w:tc>
      </w:tr>
    </w:tbl>
    <w:p w:rsidR="003F6085" w:rsidRDefault="003F6085" w:rsidP="00DE439F">
      <w:pPr>
        <w:tabs>
          <w:tab w:val="left" w:pos="180"/>
        </w:tabs>
        <w:jc w:val="center"/>
        <w:rPr>
          <w:b/>
          <w:bCs/>
        </w:rPr>
      </w:pPr>
      <w:bookmarkStart w:id="0" w:name="P180"/>
      <w:bookmarkEnd w:id="0"/>
    </w:p>
    <w:p w:rsidR="00290B1A" w:rsidRPr="00DE439F" w:rsidRDefault="00290B1A" w:rsidP="00DE439F">
      <w:pPr>
        <w:tabs>
          <w:tab w:val="left" w:pos="180"/>
        </w:tabs>
        <w:jc w:val="center"/>
        <w:rPr>
          <w:b/>
          <w:bCs/>
        </w:rPr>
      </w:pPr>
      <w:r w:rsidRPr="00555030">
        <w:rPr>
          <w:b/>
          <w:bCs/>
        </w:rPr>
        <w:t>ГОСУДАРСТВЕННОЕ ЗАДАНИЕ</w:t>
      </w:r>
      <w:r w:rsidR="000B6780">
        <w:rPr>
          <w:b/>
          <w:bCs/>
        </w:rPr>
        <w:t xml:space="preserve"> № 1</w:t>
      </w:r>
      <w:r w:rsidRPr="00555030">
        <w:t xml:space="preserve"> </w:t>
      </w:r>
      <w:r w:rsidRPr="00555030">
        <w:rPr>
          <w:b/>
          <w:bCs/>
        </w:rPr>
        <w:t>на 201</w:t>
      </w:r>
      <w:r w:rsidR="00403A47">
        <w:rPr>
          <w:b/>
          <w:bCs/>
        </w:rPr>
        <w:t>9</w:t>
      </w:r>
      <w:r w:rsidR="000B6780">
        <w:rPr>
          <w:b/>
          <w:bCs/>
        </w:rPr>
        <w:t xml:space="preserve"> год и на плановый период</w:t>
      </w:r>
      <w:r w:rsidR="00403A47">
        <w:rPr>
          <w:b/>
          <w:bCs/>
        </w:rPr>
        <w:t xml:space="preserve"> 2020 и 2021</w:t>
      </w:r>
      <w:r w:rsidRPr="00555030">
        <w:rPr>
          <w:b/>
          <w:bCs/>
        </w:rPr>
        <w:t xml:space="preserve"> годов</w:t>
      </w:r>
    </w:p>
    <w:p w:rsidR="00290B1A" w:rsidRPr="0055503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3C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</w:tblGrid>
      <w:tr w:rsidR="00290B1A"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2C82">
              <w:rPr>
                <w:rFonts w:ascii="Times New Roman" w:hAnsi="Times New Roman" w:cs="Times New Roman"/>
              </w:rPr>
              <w:t>Коды</w:t>
            </w:r>
          </w:p>
        </w:tc>
      </w:tr>
      <w:tr w:rsidR="00290B1A" w:rsidRPr="0007014D">
        <w:trPr>
          <w:trHeight w:val="516"/>
        </w:trPr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0506001</w:t>
            </w:r>
          </w:p>
        </w:tc>
      </w:tr>
      <w:tr w:rsidR="00290B1A" w:rsidRPr="0007014D">
        <w:trPr>
          <w:trHeight w:val="516"/>
        </w:trPr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Дата по сводному реестру</w:t>
            </w:r>
          </w:p>
        </w:tc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0B1A" w:rsidRPr="0007014D">
        <w:trPr>
          <w:trHeight w:val="516"/>
        </w:trPr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0D02EF" w:rsidRPr="00032C82" w:rsidRDefault="000B6780" w:rsidP="00602D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93.19</w:t>
            </w:r>
            <w:r w:rsidR="000D02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Калужской области «</w:t>
      </w:r>
      <w:proofErr w:type="gramStart"/>
      <w:r w:rsidR="00602DCE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</w:t>
      </w:r>
      <w:r w:rsidR="00602DCE">
        <w:rPr>
          <w:rFonts w:ascii="Times New Roman" w:hAnsi="Times New Roman" w:cs="Times New Roman"/>
          <w:sz w:val="24"/>
          <w:szCs w:val="24"/>
          <w:u w:val="single"/>
        </w:rPr>
        <w:t xml:space="preserve"> олимпийского резерва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«Орленок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290B1A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3C">
        <w:rPr>
          <w:rFonts w:ascii="Times New Roman" w:hAnsi="Times New Roman" w:cs="Times New Roman"/>
          <w:b/>
          <w:bCs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290B1A" w:rsidRPr="009C7A3C" w:rsidRDefault="007C22B2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90B1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</w:t>
      </w:r>
      <w:r w:rsidR="00290B1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0B1A" w:rsidRPr="000B678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4715AE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</w:p>
    <w:p w:rsidR="00290B1A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DE439F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39F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государственных услугах</w:t>
      </w:r>
    </w:p>
    <w:p w:rsidR="00290B1A" w:rsidRPr="00555030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DE439F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39F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290B1A" w:rsidRPr="00555030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671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391"/>
      </w:tblGrid>
      <w:tr w:rsidR="00290B1A" w:rsidRPr="001F34D1" w:rsidTr="00425DA4">
        <w:trPr>
          <w:trHeight w:val="443"/>
        </w:trPr>
        <w:tc>
          <w:tcPr>
            <w:tcW w:w="1391" w:type="dxa"/>
            <w:vAlign w:val="center"/>
          </w:tcPr>
          <w:p w:rsidR="00290B1A" w:rsidRPr="001F34D1" w:rsidRDefault="007C22B2" w:rsidP="00425DA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391" w:type="dxa"/>
            <w:vAlign w:val="center"/>
          </w:tcPr>
          <w:p w:rsidR="00290B1A" w:rsidRPr="001F34D1" w:rsidRDefault="007C22B2" w:rsidP="00425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FF68FD" w:rsidRDefault="00290B1A" w:rsidP="00FF68FD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290B1A" w:rsidRPr="00FF68FD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780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>«Физические лица»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B1A" w:rsidRPr="001F34D1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90B1A" w:rsidRPr="00555030" w:rsidRDefault="00290B1A" w:rsidP="007C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07"/>
        <w:gridCol w:w="950"/>
        <w:gridCol w:w="566"/>
        <w:gridCol w:w="964"/>
        <w:gridCol w:w="907"/>
        <w:gridCol w:w="907"/>
        <w:gridCol w:w="1517"/>
      </w:tblGrid>
      <w:tr w:rsidR="00290B1A" w:rsidRPr="00EA7E8F" w:rsidTr="007C22B2">
        <w:tc>
          <w:tcPr>
            <w:tcW w:w="1701" w:type="dxa"/>
            <w:vMerge w:val="restart"/>
            <w:vAlign w:val="center"/>
          </w:tcPr>
          <w:p w:rsidR="00290B1A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3" w:type="dxa"/>
            <w:gridSpan w:val="3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7" w:type="dxa"/>
            <w:vMerge w:val="restart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C22B2" w:rsidRPr="00EA7E8F" w:rsidTr="007C22B2">
        <w:tc>
          <w:tcPr>
            <w:tcW w:w="1701" w:type="dxa"/>
            <w:vMerge/>
            <w:vAlign w:val="center"/>
          </w:tcPr>
          <w:p w:rsidR="007C22B2" w:rsidRPr="00EA7E8F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C22B2" w:rsidRPr="00EA7E8F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22B2" w:rsidRPr="00EA7E8F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C22B2" w:rsidRPr="00EA7E8F" w:rsidRDefault="0096772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C22B2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C22B2" w:rsidRPr="00EA7E8F" w:rsidRDefault="00967721" w:rsidP="00967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C22B2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C22B2" w:rsidRPr="00EA7E8F" w:rsidRDefault="0096772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C22B2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7" w:type="dxa"/>
            <w:vMerge/>
            <w:vAlign w:val="center"/>
          </w:tcPr>
          <w:p w:rsidR="007C22B2" w:rsidRPr="00EA7E8F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</w:tr>
      <w:tr w:rsidR="007C22B2" w:rsidRPr="00EA7E8F" w:rsidTr="007C22B2">
        <w:tc>
          <w:tcPr>
            <w:tcW w:w="1701" w:type="dxa"/>
            <w:vMerge/>
            <w:vAlign w:val="center"/>
          </w:tcPr>
          <w:p w:rsidR="007C22B2" w:rsidRPr="00EA7E8F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07" w:type="dxa"/>
            <w:vMerge/>
            <w:vAlign w:val="center"/>
          </w:tcPr>
          <w:p w:rsidR="007C22B2" w:rsidRPr="00EA7E8F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C22B2" w:rsidRPr="00EA7E8F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7C22B2" w:rsidRPr="00EA7E8F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EA7E8F" w:rsidTr="007C22B2">
        <w:trPr>
          <w:trHeight w:val="164"/>
        </w:trPr>
        <w:tc>
          <w:tcPr>
            <w:tcW w:w="1701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7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290B1A" w:rsidRPr="00EA7E8F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F6085" w:rsidRPr="00EA7E8F" w:rsidTr="007C22B2">
        <w:tc>
          <w:tcPr>
            <w:tcW w:w="1701" w:type="dxa"/>
            <w:vAlign w:val="center"/>
          </w:tcPr>
          <w:p w:rsidR="003F6085" w:rsidRPr="00EA7E8F" w:rsidRDefault="003F6085" w:rsidP="007C22B2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lastRenderedPageBreak/>
              <w:t>931900О.99.0.БВ27АА16006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vAlign w:val="center"/>
          </w:tcPr>
          <w:p w:rsidR="003F6085" w:rsidRPr="00EA7E8F" w:rsidRDefault="00EA7E8F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  <w:r w:rsidR="003F6085"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F6085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3F6085"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F6085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  <w:r w:rsidR="003F6085"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517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F6085" w:rsidRPr="00EA7E8F" w:rsidTr="007C22B2">
        <w:tc>
          <w:tcPr>
            <w:tcW w:w="1701" w:type="dxa"/>
            <w:vAlign w:val="center"/>
          </w:tcPr>
          <w:p w:rsidR="003F6085" w:rsidRPr="00EA7E8F" w:rsidRDefault="003F6085" w:rsidP="007C22B2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931900О.99.0.БВ27АА17006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vAlign w:val="center"/>
          </w:tcPr>
          <w:p w:rsidR="003F6085" w:rsidRPr="00EA7E8F" w:rsidRDefault="00EA7E8F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F6085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F6085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F6085" w:rsidRPr="00EA7E8F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517" w:type="dxa"/>
            <w:vAlign w:val="center"/>
          </w:tcPr>
          <w:p w:rsidR="003F6085" w:rsidRPr="00EA7E8F" w:rsidRDefault="003F6085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D3547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</w:t>
      </w:r>
      <w:r w:rsidR="00967721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967721" w:rsidRPr="003F60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F608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1F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1A" w:rsidRPr="001F34D1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48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200"/>
        <w:gridCol w:w="989"/>
        <w:gridCol w:w="571"/>
        <w:gridCol w:w="850"/>
        <w:gridCol w:w="850"/>
        <w:gridCol w:w="850"/>
        <w:gridCol w:w="900"/>
        <w:gridCol w:w="900"/>
        <w:gridCol w:w="900"/>
        <w:gridCol w:w="900"/>
      </w:tblGrid>
      <w:tr w:rsidR="005B194C" w:rsidRPr="00EA7E8F" w:rsidTr="005B194C">
        <w:tc>
          <w:tcPr>
            <w:tcW w:w="907" w:type="dxa"/>
            <w:vMerge w:val="restart"/>
            <w:vAlign w:val="center"/>
          </w:tcPr>
          <w:p w:rsidR="005B194C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60" w:type="dxa"/>
            <w:gridSpan w:val="3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700" w:type="dxa"/>
            <w:gridSpan w:val="3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B194C" w:rsidRPr="00EA7E8F" w:rsidTr="005B194C">
        <w:tc>
          <w:tcPr>
            <w:tcW w:w="907" w:type="dxa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900" w:type="dxa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EA7E8F" w:rsidTr="005B194C">
        <w:tc>
          <w:tcPr>
            <w:tcW w:w="907" w:type="dxa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B194C" w:rsidRPr="00EA7E8F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EA7E8F" w:rsidTr="005B194C">
        <w:tc>
          <w:tcPr>
            <w:tcW w:w="907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0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5B194C" w:rsidRPr="00EA7E8F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C22B2" w:rsidRPr="00EA7E8F" w:rsidTr="005B194C">
        <w:tc>
          <w:tcPr>
            <w:tcW w:w="907" w:type="dxa"/>
            <w:vAlign w:val="center"/>
          </w:tcPr>
          <w:p w:rsidR="007C22B2" w:rsidRPr="00EA7E8F" w:rsidRDefault="007C22B2" w:rsidP="007C22B2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931900О.99.0.БВ27АА16006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C22B2" w:rsidRPr="00EA7E8F" w:rsidRDefault="00527FF6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64,66</w:t>
            </w:r>
          </w:p>
        </w:tc>
        <w:tc>
          <w:tcPr>
            <w:tcW w:w="850" w:type="dxa"/>
            <w:vAlign w:val="center"/>
          </w:tcPr>
          <w:p w:rsidR="007C22B2" w:rsidRPr="00EA7E8F" w:rsidRDefault="00527FF6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center"/>
          </w:tcPr>
          <w:p w:rsidR="007C22B2" w:rsidRPr="00EA7E8F" w:rsidRDefault="00527FF6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7C22B2" w:rsidRPr="00EA7E8F" w:rsidTr="005B194C">
        <w:tc>
          <w:tcPr>
            <w:tcW w:w="907" w:type="dxa"/>
            <w:vAlign w:val="center"/>
          </w:tcPr>
          <w:p w:rsidR="007C22B2" w:rsidRPr="00EA7E8F" w:rsidRDefault="007C22B2" w:rsidP="007C22B2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931900О.99.0.БВ27АА17006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спор-</w:t>
            </w:r>
            <w:proofErr w:type="spell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тивной</w:t>
            </w:r>
            <w:proofErr w:type="spellEnd"/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C22B2" w:rsidRPr="00EA7E8F" w:rsidRDefault="00527FF6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7C22B2" w:rsidRPr="00EA7E8F" w:rsidRDefault="00527FF6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7C22B2" w:rsidRPr="00EA7E8F" w:rsidRDefault="00527FF6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EA7E8F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403A47" w:rsidRPr="00425D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B1A" w:rsidRPr="00DE439F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40D75" w:rsidRPr="004D3547" w:rsidRDefault="00290B1A" w:rsidP="004D35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1290"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 w:rsidR="00EE1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EE1290" w:rsidRPr="00EE1A1B">
        <w:rPr>
          <w:sz w:val="24"/>
          <w:szCs w:val="24"/>
        </w:rPr>
        <w:t xml:space="preserve"> 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>приказ министерств</w:t>
      </w:r>
      <w:r w:rsidR="00557AE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>а спорта Калужской области от 12.09.2017</w:t>
      </w:r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7AE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557AE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>356</w:t>
      </w:r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Устав государственного автономного учреждения  Калужской области «</w:t>
      </w:r>
      <w:r w:rsidR="00557AE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EE1290" w:rsidRPr="003F60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портивная школа «Орленок» </w:t>
      </w:r>
      <w:r w:rsidR="00EE1290" w:rsidRPr="003F6085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290B1A" w:rsidRPr="00EE1290" w:rsidRDefault="00290B1A" w:rsidP="00EE129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</w:t>
      </w:r>
      <w:r w:rsidR="00EE1290">
        <w:rPr>
          <w:rFonts w:ascii="Times New Roman" w:hAnsi="Times New Roman" w:cs="Times New Roman"/>
          <w:b/>
          <w:bCs/>
          <w:sz w:val="24"/>
          <w:szCs w:val="24"/>
        </w:rPr>
        <w:t>енной услуги:</w:t>
      </w: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78"/>
        <w:gridCol w:w="3193"/>
      </w:tblGrid>
      <w:tr w:rsidR="00290B1A" w:rsidRPr="00555030" w:rsidTr="004D3547"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78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4D3547"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4D3547">
        <w:tc>
          <w:tcPr>
            <w:tcW w:w="3193" w:type="dxa"/>
          </w:tcPr>
          <w:p w:rsidR="00290B1A" w:rsidRPr="00AA6948" w:rsidRDefault="00290B1A" w:rsidP="001F34D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78" w:type="dxa"/>
          </w:tcPr>
          <w:p w:rsidR="00290B1A" w:rsidRPr="007F75E1" w:rsidRDefault="00290B1A" w:rsidP="001F34D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1F34D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871F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852694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tbl>
      <w:tblPr>
        <w:tblpPr w:leftFromText="180" w:rightFromText="180" w:vertAnchor="text" w:horzAnchor="page" w:tblpX="12330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805"/>
      </w:tblGrid>
      <w:tr w:rsidR="005E2FC3" w:rsidRPr="001F34D1" w:rsidTr="007C22B2">
        <w:trPr>
          <w:trHeight w:val="633"/>
        </w:trPr>
        <w:tc>
          <w:tcPr>
            <w:tcW w:w="2121" w:type="dxa"/>
            <w:vAlign w:val="center"/>
          </w:tcPr>
          <w:p w:rsidR="005E2FC3" w:rsidRPr="001F34D1" w:rsidRDefault="007C22B2" w:rsidP="005E2FC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05" w:type="dxa"/>
            <w:vAlign w:val="center"/>
          </w:tcPr>
          <w:p w:rsidR="005E2FC3" w:rsidRPr="001F34D1" w:rsidRDefault="007C22B2" w:rsidP="005E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555030" w:rsidRDefault="00290B1A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F81849" w:rsidRDefault="00290B1A" w:rsidP="001F34D1">
      <w:pPr>
        <w:pStyle w:val="ConsPlusNonformat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290B1A" w:rsidRPr="00F81849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FD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F34D1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>«Физические лица»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B1A" w:rsidRPr="001F34D1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90B1A" w:rsidRPr="0055503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FF68FD">
        <w:rPr>
          <w:rFonts w:ascii="Times New Roman" w:hAnsi="Times New Roman" w:cs="Times New Roman"/>
          <w:b/>
          <w:sz w:val="24"/>
          <w:szCs w:val="24"/>
        </w:rPr>
        <w:t>услуги:</w:t>
      </w:r>
    </w:p>
    <w:tbl>
      <w:tblPr>
        <w:tblW w:w="153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134"/>
        <w:gridCol w:w="1134"/>
        <w:gridCol w:w="1134"/>
        <w:gridCol w:w="1494"/>
        <w:gridCol w:w="1134"/>
        <w:gridCol w:w="2126"/>
        <w:gridCol w:w="950"/>
        <w:gridCol w:w="566"/>
        <w:gridCol w:w="964"/>
        <w:gridCol w:w="907"/>
        <w:gridCol w:w="1007"/>
        <w:gridCol w:w="1518"/>
      </w:tblGrid>
      <w:tr w:rsidR="00290B1A" w:rsidRPr="003F6085" w:rsidTr="006D0841">
        <w:tc>
          <w:tcPr>
            <w:tcW w:w="1322" w:type="dxa"/>
            <w:vMerge w:val="restart"/>
            <w:vAlign w:val="center"/>
          </w:tcPr>
          <w:p w:rsidR="00290B1A" w:rsidRPr="003F6085" w:rsidRDefault="007C22B2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D0841" w:rsidRPr="003F6085" w:rsidTr="006D0841">
        <w:tc>
          <w:tcPr>
            <w:tcW w:w="1322" w:type="dxa"/>
            <w:vMerge/>
            <w:vAlign w:val="center"/>
          </w:tcPr>
          <w:p w:rsidR="006D0841" w:rsidRPr="003F6085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D0841" w:rsidRPr="003F6085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:rsidR="006D0841" w:rsidRPr="003F6085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F608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D0841" w:rsidRPr="003F6085" w:rsidRDefault="0096772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D0841"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6D0841" w:rsidRPr="003F6085" w:rsidRDefault="0096772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D0841"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7" w:type="dxa"/>
            <w:vMerge w:val="restart"/>
            <w:vAlign w:val="center"/>
          </w:tcPr>
          <w:p w:rsidR="006D0841" w:rsidRPr="003F6085" w:rsidRDefault="0096772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D0841"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  <w:vAlign w:val="center"/>
          </w:tcPr>
          <w:p w:rsidR="006D0841" w:rsidRPr="003F6085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3F6085" w:rsidTr="006D0841">
        <w:tc>
          <w:tcPr>
            <w:tcW w:w="1322" w:type="dxa"/>
            <w:vMerge/>
            <w:vAlign w:val="center"/>
          </w:tcPr>
          <w:p w:rsidR="006D0841" w:rsidRPr="003F6085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94" w:type="dxa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6D0841" w:rsidRPr="003F6085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:rsidR="006D0841" w:rsidRPr="003F6085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6D0841" w:rsidRPr="003F6085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3F6085" w:rsidTr="006D0841">
        <w:tc>
          <w:tcPr>
            <w:tcW w:w="1322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4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  <w:vAlign w:val="center"/>
          </w:tcPr>
          <w:p w:rsidR="00290B1A" w:rsidRPr="003F6085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F6085" w:rsidRPr="003F6085" w:rsidTr="006D0841">
        <w:trPr>
          <w:trHeight w:val="1023"/>
        </w:trPr>
        <w:tc>
          <w:tcPr>
            <w:tcW w:w="1322" w:type="dxa"/>
            <w:vAlign w:val="center"/>
          </w:tcPr>
          <w:p w:rsidR="003F6085" w:rsidRPr="003F6085" w:rsidRDefault="003F6085" w:rsidP="007C22B2">
            <w:pPr>
              <w:jc w:val="center"/>
              <w:rPr>
                <w:color w:val="000000"/>
                <w:sz w:val="18"/>
                <w:szCs w:val="18"/>
              </w:rPr>
            </w:pPr>
            <w:r w:rsidRPr="003F6085">
              <w:rPr>
                <w:color w:val="000000"/>
                <w:sz w:val="18"/>
                <w:szCs w:val="18"/>
              </w:rPr>
              <w:t>931900О.99.0.БВ27АБ16006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F6085" w:rsidRPr="003F6085" w:rsidRDefault="00EA7E8F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</w:t>
            </w:r>
            <w:r w:rsidR="00425DA4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="003F6085"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D773EB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F6085" w:rsidRPr="00D773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F6085" w:rsidRPr="00D773EB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E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F6085" w:rsidRPr="00D773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07" w:type="dxa"/>
            <w:vAlign w:val="center"/>
          </w:tcPr>
          <w:p w:rsidR="003F6085" w:rsidRPr="00D773EB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E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F6085" w:rsidRPr="00D773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F6085" w:rsidRPr="003F6085" w:rsidTr="006D0841">
        <w:trPr>
          <w:trHeight w:val="794"/>
        </w:trPr>
        <w:tc>
          <w:tcPr>
            <w:tcW w:w="1322" w:type="dxa"/>
            <w:vAlign w:val="center"/>
          </w:tcPr>
          <w:p w:rsidR="003F6085" w:rsidRPr="003F6085" w:rsidRDefault="003F6085" w:rsidP="007C22B2">
            <w:pPr>
              <w:jc w:val="center"/>
              <w:rPr>
                <w:color w:val="000000"/>
                <w:sz w:val="18"/>
                <w:szCs w:val="18"/>
              </w:rPr>
            </w:pPr>
            <w:r w:rsidRPr="003F6085">
              <w:rPr>
                <w:color w:val="000000"/>
                <w:sz w:val="18"/>
                <w:szCs w:val="18"/>
              </w:rPr>
              <w:t>931900О.99.0.БВ27АБ17006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F6085" w:rsidRPr="003F6085" w:rsidRDefault="00EA7E8F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3F6085"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3F6085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6085" w:rsidRPr="003F608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F6085" w:rsidRPr="003F6085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6085" w:rsidRPr="003F608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07" w:type="dxa"/>
            <w:vAlign w:val="center"/>
          </w:tcPr>
          <w:p w:rsidR="003F6085" w:rsidRPr="003F6085" w:rsidRDefault="00597B6E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6085" w:rsidRPr="003F608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F6085" w:rsidRPr="003F6085" w:rsidTr="003F6085">
        <w:trPr>
          <w:trHeight w:val="2343"/>
        </w:trPr>
        <w:tc>
          <w:tcPr>
            <w:tcW w:w="1322" w:type="dxa"/>
            <w:vAlign w:val="center"/>
          </w:tcPr>
          <w:p w:rsidR="003F6085" w:rsidRPr="003F6085" w:rsidRDefault="003F6085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3F6085">
              <w:rPr>
                <w:color w:val="000000"/>
                <w:sz w:val="18"/>
                <w:szCs w:val="18"/>
              </w:rPr>
              <w:t>931900О.99.0.БВ27АБ19006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3F6085" w:rsidRPr="003F6085" w:rsidRDefault="003F6085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</w:t>
            </w:r>
            <w:r w:rsidR="00EA7E8F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подготовку, выполнивших требования ф</w:t>
            </w:r>
            <w:r w:rsidR="00EA7E8F">
              <w:rPr>
                <w:rFonts w:ascii="Times New Roman" w:hAnsi="Times New Roman" w:cs="Times New Roman"/>
                <w:sz w:val="18"/>
                <w:szCs w:val="18"/>
              </w:rPr>
              <w:t>едерального стандарта спорт</w:t>
            </w: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F6085" w:rsidRPr="002A1FCB" w:rsidRDefault="005D76A3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2A1FCB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3F6085" w:rsidRPr="002A1FCB" w:rsidRDefault="005D76A3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2A1FCB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1007" w:type="dxa"/>
            <w:vAlign w:val="center"/>
          </w:tcPr>
          <w:p w:rsidR="003F6085" w:rsidRPr="002A1FCB" w:rsidRDefault="005D76A3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2A1FCB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1518" w:type="dxa"/>
            <w:vAlign w:val="center"/>
          </w:tcPr>
          <w:p w:rsidR="003F6085" w:rsidRPr="003F6085" w:rsidRDefault="003F6085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2A1FCB" w:rsidRDefault="00290B1A" w:rsidP="002A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967721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967721" w:rsidRPr="00425D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425DA4">
        <w:rPr>
          <w:u w:val="single"/>
        </w:rPr>
        <w:t xml:space="preserve">             </w:t>
      </w:r>
      <w:r w:rsidR="00F74348" w:rsidRPr="00425DA4">
        <w:rPr>
          <w:u w:val="single"/>
        </w:rPr>
        <w:t xml:space="preserve">  </w:t>
      </w:r>
      <w:r w:rsidRPr="00425DA4">
        <w:rPr>
          <w:u w:val="single"/>
        </w:rPr>
        <w:t xml:space="preserve">                                                  </w:t>
      </w:r>
    </w:p>
    <w:p w:rsidR="00290B1A" w:rsidRPr="00313076" w:rsidRDefault="00290B1A" w:rsidP="00871F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076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1134"/>
        <w:gridCol w:w="916"/>
        <w:gridCol w:w="916"/>
        <w:gridCol w:w="1134"/>
        <w:gridCol w:w="1003"/>
        <w:gridCol w:w="1701"/>
        <w:gridCol w:w="567"/>
        <w:gridCol w:w="571"/>
        <w:gridCol w:w="850"/>
        <w:gridCol w:w="850"/>
        <w:gridCol w:w="850"/>
        <w:gridCol w:w="897"/>
        <w:gridCol w:w="897"/>
        <w:gridCol w:w="897"/>
        <w:gridCol w:w="1264"/>
      </w:tblGrid>
      <w:tr w:rsidR="005B194C" w:rsidRPr="00EA7E8F" w:rsidTr="005B194C">
        <w:tc>
          <w:tcPr>
            <w:tcW w:w="1115" w:type="dxa"/>
            <w:vMerge w:val="restart"/>
            <w:vAlign w:val="center"/>
          </w:tcPr>
          <w:p w:rsidR="005B194C" w:rsidRPr="00EA7E8F" w:rsidRDefault="007C22B2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номер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37" w:type="dxa"/>
            <w:gridSpan w:val="2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691" w:type="dxa"/>
            <w:gridSpan w:val="3"/>
          </w:tcPr>
          <w:p w:rsidR="006D0841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  <w:p w:rsidR="005B194C" w:rsidRPr="00EA7E8F" w:rsidRDefault="005B194C" w:rsidP="006D084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информации о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7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B194C" w:rsidRPr="00EA7E8F" w:rsidTr="005B194C">
        <w:tc>
          <w:tcPr>
            <w:tcW w:w="1115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8" w:type="dxa"/>
            <w:gridSpan w:val="2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EA7E8F" w:rsidRDefault="00967721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B194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EA7E8F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64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EA7E8F" w:rsidTr="005B194C">
        <w:tc>
          <w:tcPr>
            <w:tcW w:w="1115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03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5B194C" w:rsidRPr="00EA7E8F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EA7E8F" w:rsidTr="005B194C">
        <w:tc>
          <w:tcPr>
            <w:tcW w:w="1115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7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vAlign w:val="center"/>
          </w:tcPr>
          <w:p w:rsidR="005B194C" w:rsidRPr="00EA7E8F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EA7E8F" w:rsidTr="006D0841">
        <w:tc>
          <w:tcPr>
            <w:tcW w:w="1115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931900О.99.0.БВ27АБ16006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003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567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EA7E8F" w:rsidTr="006D0841">
        <w:tc>
          <w:tcPr>
            <w:tcW w:w="1115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931900О.99.0.БВ27АБ17006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спор-</w:t>
            </w:r>
            <w:proofErr w:type="spell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тивной</w:t>
            </w:r>
            <w:proofErr w:type="spellEnd"/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3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567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67,33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EA7E8F" w:rsidTr="00B70B11">
        <w:tc>
          <w:tcPr>
            <w:tcW w:w="1115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931900О.99.0.БВ27АБ19006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03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567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EA7E8F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83629" w:rsidRPr="00EA7E8F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91939" w:rsidRPr="002A1FCB" w:rsidRDefault="00991939" w:rsidP="00206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Pr="002A1FCB">
        <w:rPr>
          <w:rFonts w:ascii="Times New Roman" w:hAnsi="Times New Roman" w:cs="Times New Roman"/>
          <w:sz w:val="24"/>
          <w:szCs w:val="24"/>
          <w:u w:val="single"/>
        </w:rPr>
        <w:t>10  %</w:t>
      </w:r>
    </w:p>
    <w:p w:rsidR="00340D75" w:rsidRPr="00F74348" w:rsidRDefault="00290B1A" w:rsidP="00206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20687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>приказ министерс</w:t>
      </w:r>
      <w:r w:rsidR="00527FF6"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>тва спорта Калужской</w:t>
      </w:r>
      <w:r w:rsidR="00527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области от</w:t>
      </w:r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12.09.2017    № 356 «О внесении изменений в Устав государственного автономного учреждения  Калужской области «Спортивная школа «Орленок»</w:t>
      </w:r>
      <w:r w:rsid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  <w:proofErr w:type="gramEnd"/>
    </w:p>
    <w:p w:rsidR="00290B1A" w:rsidRPr="00340D75" w:rsidRDefault="00290B1A" w:rsidP="00340D7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78"/>
        <w:gridCol w:w="3193"/>
      </w:tblGrid>
      <w:tr w:rsidR="00290B1A" w:rsidRPr="00555030" w:rsidTr="006D0841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78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6D0841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6D0841"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78" w:type="dxa"/>
          </w:tcPr>
          <w:p w:rsidR="00290B1A" w:rsidRPr="007F75E1" w:rsidRDefault="00290B1A" w:rsidP="004716AB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3130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2A1FCB" w:rsidRDefault="00290B1A" w:rsidP="002A1FC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290B1A" w:rsidRPr="0020687D" w:rsidRDefault="00290B1A" w:rsidP="0020687D">
      <w:pPr>
        <w:pStyle w:val="a4"/>
        <w:numPr>
          <w:ilvl w:val="0"/>
          <w:numId w:val="6"/>
        </w:numPr>
        <w:ind w:left="284" w:hanging="284"/>
        <w:jc w:val="both"/>
        <w:rPr>
          <w:color w:val="000000"/>
          <w:sz w:val="20"/>
          <w:szCs w:val="20"/>
        </w:rPr>
      </w:pPr>
      <w:r w:rsidRPr="0020687D">
        <w:rPr>
          <w:b/>
          <w:bCs/>
        </w:rPr>
        <w:t>Наименование государственной услуги</w:t>
      </w:r>
      <w:r w:rsidRPr="00555030">
        <w:t xml:space="preserve"> </w:t>
      </w:r>
      <w:r w:rsidR="00F81849">
        <w:t>«Спортивная подготовка</w:t>
      </w:r>
      <w:r w:rsidR="00FF68FD">
        <w:t xml:space="preserve"> по олимпийским видам спорта»</w:t>
      </w:r>
    </w:p>
    <w:tbl>
      <w:tblPr>
        <w:tblpPr w:leftFromText="180" w:rightFromText="180" w:vertAnchor="text" w:horzAnchor="page" w:tblpX="12169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95"/>
      </w:tblGrid>
      <w:tr w:rsidR="00290B1A" w:rsidRPr="0020687D" w:rsidTr="007C22B2">
        <w:trPr>
          <w:trHeight w:val="562"/>
        </w:trPr>
        <w:tc>
          <w:tcPr>
            <w:tcW w:w="2226" w:type="dxa"/>
            <w:vAlign w:val="center"/>
          </w:tcPr>
          <w:p w:rsidR="00290B1A" w:rsidRPr="0020687D" w:rsidRDefault="007C22B2" w:rsidP="0031307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95" w:type="dxa"/>
            <w:vAlign w:val="center"/>
          </w:tcPr>
          <w:p w:rsidR="00290B1A" w:rsidRPr="0020687D" w:rsidRDefault="007C22B2" w:rsidP="00313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CE2F6E" w:rsidRDefault="00290B1A" w:rsidP="009F13E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20687D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290B1A" w:rsidRPr="0020687D" w:rsidRDefault="00FF68FD" w:rsidP="00FF68F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90B1A" w:rsidRPr="0020687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Показатели, характеризующие объем  и  (или) качество </w:t>
      </w:r>
      <w:r w:rsidR="00290B1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90B1A" w:rsidRPr="0020687D">
        <w:rPr>
          <w:rFonts w:ascii="Times New Roman" w:hAnsi="Times New Roman" w:cs="Times New Roman"/>
          <w:b/>
          <w:bCs/>
          <w:sz w:val="24"/>
          <w:szCs w:val="24"/>
        </w:rPr>
        <w:t>осударственной услуги:</w:t>
      </w:r>
    </w:p>
    <w:p w:rsidR="00290B1A" w:rsidRPr="007C22B2" w:rsidRDefault="00290B1A" w:rsidP="007C22B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134"/>
        <w:gridCol w:w="1134"/>
        <w:gridCol w:w="1134"/>
        <w:gridCol w:w="1635"/>
        <w:gridCol w:w="1134"/>
        <w:gridCol w:w="2127"/>
        <w:gridCol w:w="950"/>
        <w:gridCol w:w="566"/>
        <w:gridCol w:w="964"/>
        <w:gridCol w:w="907"/>
        <w:gridCol w:w="907"/>
        <w:gridCol w:w="1518"/>
      </w:tblGrid>
      <w:tr w:rsidR="00290B1A" w:rsidRPr="00EA7E8F" w:rsidTr="006D0841">
        <w:tc>
          <w:tcPr>
            <w:tcW w:w="1322" w:type="dxa"/>
            <w:vMerge w:val="restart"/>
            <w:vAlign w:val="center"/>
          </w:tcPr>
          <w:p w:rsidR="00290B1A" w:rsidRPr="00EA7E8F" w:rsidRDefault="007C22B2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69" w:type="dxa"/>
            <w:gridSpan w:val="2"/>
            <w:vMerge w:val="restart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EA7E8F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70B11" w:rsidRPr="00EA7E8F" w:rsidTr="006D0841">
        <w:tc>
          <w:tcPr>
            <w:tcW w:w="1322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70B11" w:rsidRPr="00EA7E8F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EA7E8F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EA7E8F" w:rsidRDefault="0096772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EA7E8F" w:rsidRDefault="0096772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EA7E8F" w:rsidRDefault="0096772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</w:tr>
      <w:tr w:rsidR="00B70B11" w:rsidRPr="00EA7E8F" w:rsidTr="006D0841">
        <w:tc>
          <w:tcPr>
            <w:tcW w:w="1322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35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B70B11" w:rsidRPr="00EA7E8F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B70B11" w:rsidRPr="00EA7E8F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70B11" w:rsidRPr="00EA7E8F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70B11" w:rsidRPr="00EA7E8F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70B11" w:rsidRPr="00EA7E8F" w:rsidRDefault="00B70B11" w:rsidP="00AD482B">
            <w:pPr>
              <w:rPr>
                <w:sz w:val="18"/>
                <w:szCs w:val="18"/>
              </w:rPr>
            </w:pPr>
          </w:p>
        </w:tc>
      </w:tr>
      <w:tr w:rsidR="00290B1A" w:rsidRPr="00EA7E8F" w:rsidTr="006D0841">
        <w:tc>
          <w:tcPr>
            <w:tcW w:w="1322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5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290B1A" w:rsidRPr="00EA7E8F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A1FCB" w:rsidRPr="00EA7E8F" w:rsidTr="006D0841">
        <w:tc>
          <w:tcPr>
            <w:tcW w:w="1322" w:type="dxa"/>
            <w:vAlign w:val="center"/>
          </w:tcPr>
          <w:p w:rsidR="002A1FCB" w:rsidRPr="00EA7E8F" w:rsidRDefault="002A1FCB" w:rsidP="00F83629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931900О.99.0.БВ27АА71006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</w:t>
            </w:r>
            <w:r w:rsidR="00EA7E8F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A1FCB" w:rsidRPr="00EA7E8F" w:rsidTr="005D76A3">
        <w:trPr>
          <w:trHeight w:val="1278"/>
        </w:trPr>
        <w:tc>
          <w:tcPr>
            <w:tcW w:w="1322" w:type="dxa"/>
            <w:vAlign w:val="center"/>
          </w:tcPr>
          <w:p w:rsidR="002A1FCB" w:rsidRPr="00EA7E8F" w:rsidRDefault="002A1FCB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lastRenderedPageBreak/>
              <w:t>931900О.99.0.БВ27АА72006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2A1FCB" w:rsidRPr="00EA7E8F" w:rsidRDefault="00EA7E8F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A1FCB" w:rsidRPr="00EA7E8F" w:rsidTr="006D0841">
        <w:tc>
          <w:tcPr>
            <w:tcW w:w="1322" w:type="dxa"/>
            <w:vAlign w:val="center"/>
          </w:tcPr>
          <w:p w:rsidR="002A1FCB" w:rsidRPr="00EA7E8F" w:rsidRDefault="002A1FCB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931900О.99.0.БВ27АА73006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2A1FCB" w:rsidRPr="00EA7E8F" w:rsidRDefault="00EA7E8F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 этап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совершенствования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 и зачисле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нных на этап высшего спорт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50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A1FCB" w:rsidRPr="00EA7E8F" w:rsidRDefault="00597B6E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2A1FCB" w:rsidRPr="00EA7E8F" w:rsidRDefault="00597B6E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18" w:type="dxa"/>
            <w:vAlign w:val="center"/>
          </w:tcPr>
          <w:p w:rsidR="002A1FCB" w:rsidRPr="00EA7E8F" w:rsidRDefault="002A1FCB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A1FCB" w:rsidRPr="00EA7E8F" w:rsidTr="006D0841">
        <w:tc>
          <w:tcPr>
            <w:tcW w:w="1322" w:type="dxa"/>
            <w:vAlign w:val="center"/>
          </w:tcPr>
          <w:p w:rsidR="002A1FCB" w:rsidRPr="00EA7E8F" w:rsidRDefault="002A1FCB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931900О.99.0.БВ27АА74006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A1FCB" w:rsidRPr="00EA7E8F" w:rsidRDefault="002A1FCB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</w:t>
            </w:r>
            <w:r w:rsidR="00EA7E8F">
              <w:rPr>
                <w:rFonts w:ascii="Times New Roman" w:hAnsi="Times New Roman" w:cs="Times New Roman"/>
                <w:sz w:val="18"/>
                <w:szCs w:val="18"/>
              </w:rPr>
              <w:t>едерального стандарта спорт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A1FCB" w:rsidRPr="00EA7E8F" w:rsidRDefault="005D76A3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2A1FCB" w:rsidRPr="00EA7E8F" w:rsidRDefault="005D76A3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2A1FCB" w:rsidRPr="00EA7E8F" w:rsidRDefault="005D76A3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A1FCB" w:rsidRPr="00EA7E8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518" w:type="dxa"/>
            <w:vAlign w:val="center"/>
          </w:tcPr>
          <w:p w:rsidR="002A1FCB" w:rsidRPr="00EA7E8F" w:rsidRDefault="002A1FCB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2A1FCB" w:rsidRDefault="00290B1A" w:rsidP="002A1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967721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967721" w:rsidRPr="002A1FC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A1FCB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2A1FCB">
        <w:rPr>
          <w:u w:val="single"/>
        </w:rPr>
        <w:t xml:space="preserve">       </w:t>
      </w:r>
      <w:r w:rsidRPr="002A1F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4B88" w:rsidRPr="002A1FCB">
        <w:rPr>
          <w:rFonts w:ascii="Times New Roman" w:hAnsi="Times New Roman" w:cs="Times New Roman"/>
          <w:sz w:val="24"/>
          <w:szCs w:val="24"/>
        </w:rPr>
        <w:t xml:space="preserve">  </w:t>
      </w:r>
      <w:r w:rsidRPr="002A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90B1A" w:rsidRPr="00C56A6A" w:rsidRDefault="00290B1A" w:rsidP="009F13E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4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96"/>
        <w:gridCol w:w="996"/>
        <w:gridCol w:w="1334"/>
        <w:gridCol w:w="1051"/>
        <w:gridCol w:w="1225"/>
        <w:gridCol w:w="843"/>
        <w:gridCol w:w="571"/>
        <w:gridCol w:w="850"/>
        <w:gridCol w:w="850"/>
        <w:gridCol w:w="850"/>
        <w:gridCol w:w="849"/>
        <w:gridCol w:w="850"/>
        <w:gridCol w:w="850"/>
        <w:gridCol w:w="1274"/>
      </w:tblGrid>
      <w:tr w:rsidR="006D0841" w:rsidRPr="00EA7E8F" w:rsidTr="007C22B2">
        <w:tc>
          <w:tcPr>
            <w:tcW w:w="907" w:type="dxa"/>
            <w:vMerge w:val="restart"/>
            <w:vAlign w:val="center"/>
          </w:tcPr>
          <w:p w:rsidR="006D0841" w:rsidRPr="00EA7E8F" w:rsidRDefault="007C22B2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9" w:type="dxa"/>
            <w:gridSpan w:val="3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49" w:type="dxa"/>
            <w:gridSpan w:val="3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4" w:type="dxa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D0841" w:rsidRPr="00EA7E8F" w:rsidTr="007C22B2">
        <w:tc>
          <w:tcPr>
            <w:tcW w:w="907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96772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D084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96772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D084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96772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D084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49" w:type="dxa"/>
            <w:vMerge w:val="restart"/>
            <w:vAlign w:val="center"/>
          </w:tcPr>
          <w:p w:rsidR="006D0841" w:rsidRPr="00EA7E8F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EA7E8F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4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EA7E8F" w:rsidTr="007C22B2">
        <w:tc>
          <w:tcPr>
            <w:tcW w:w="907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3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051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показателя)</w:t>
            </w:r>
          </w:p>
        </w:tc>
        <w:tc>
          <w:tcPr>
            <w:tcW w:w="1225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6D0841" w:rsidRPr="00EA7E8F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EA7E8F" w:rsidTr="006D0841">
        <w:tc>
          <w:tcPr>
            <w:tcW w:w="907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5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4" w:type="dxa"/>
            <w:vAlign w:val="center"/>
          </w:tcPr>
          <w:p w:rsidR="006D0841" w:rsidRPr="00EA7E8F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EA7E8F" w:rsidTr="006D0841">
        <w:tc>
          <w:tcPr>
            <w:tcW w:w="907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931900О.99.0.БВ27АА71006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05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45,33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53,33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49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EA7E8F" w:rsidTr="006D0841">
        <w:tc>
          <w:tcPr>
            <w:tcW w:w="907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931900О.99.0.БВ27АА72006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EA7E8F" w:rsidRDefault="00EA7E8F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</w:t>
            </w:r>
            <w:r w:rsidR="00F83629"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тивной </w:t>
            </w:r>
            <w:proofErr w:type="spellStart"/>
            <w:proofErr w:type="gramStart"/>
            <w:r w:rsidR="00F83629"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proofErr w:type="gramEnd"/>
            <w:r w:rsidR="00F83629"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52,33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53,66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53,66</w:t>
            </w:r>
          </w:p>
        </w:tc>
        <w:tc>
          <w:tcPr>
            <w:tcW w:w="849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EA7E8F" w:rsidTr="006D0841">
        <w:tc>
          <w:tcPr>
            <w:tcW w:w="907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931900О.99.0.БВ27АА73006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EA7E8F" w:rsidTr="006D0841">
        <w:tc>
          <w:tcPr>
            <w:tcW w:w="907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931900О.99.0.БВ27АА74006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5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83629" w:rsidRPr="00EA7E8F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555030" w:rsidRDefault="00290B1A" w:rsidP="00A16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465860" w:rsidRPr="002A1FC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A1FCB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290B1A" w:rsidRPr="00555030" w:rsidRDefault="00290B1A" w:rsidP="00A16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A16BE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 министерства спорта Калужской области </w:t>
      </w:r>
      <w:r w:rsidR="00557AE0"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>от 12.09.2017    № 356 «О внесении изменений в Устав государственного автономного учреждения  Калужской области «Спортивная</w:t>
      </w:r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школа «Орленок»</w:t>
      </w:r>
      <w:r w:rsidR="00557A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  <w:proofErr w:type="gramEnd"/>
    </w:p>
    <w:p w:rsidR="00290B1A" w:rsidRPr="00F277FC" w:rsidRDefault="00290B1A" w:rsidP="00A16BE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633"/>
        <w:gridCol w:w="3193"/>
      </w:tblGrid>
      <w:tr w:rsidR="00290B1A" w:rsidRPr="00555030" w:rsidTr="00224867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63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224867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224867"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633" w:type="dxa"/>
          </w:tcPr>
          <w:p w:rsidR="00290B1A" w:rsidRPr="007F75E1" w:rsidRDefault="00290B1A" w:rsidP="004716AB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20687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C97EEB" w:rsidRDefault="00290B1A" w:rsidP="00C97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tbl>
      <w:tblPr>
        <w:tblpPr w:leftFromText="180" w:rightFromText="180" w:vertAnchor="text" w:horzAnchor="page" w:tblpX="12181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1910"/>
      </w:tblGrid>
      <w:tr w:rsidR="00290B1A" w:rsidRPr="0020687D" w:rsidTr="00B70B11">
        <w:trPr>
          <w:trHeight w:val="506"/>
        </w:trPr>
        <w:tc>
          <w:tcPr>
            <w:tcW w:w="2244" w:type="dxa"/>
            <w:vAlign w:val="center"/>
          </w:tcPr>
          <w:p w:rsidR="00290B1A" w:rsidRPr="0020687D" w:rsidRDefault="007C22B2" w:rsidP="0020687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910" w:type="dxa"/>
            <w:vAlign w:val="center"/>
          </w:tcPr>
          <w:p w:rsidR="00290B1A" w:rsidRPr="0020687D" w:rsidRDefault="007C22B2" w:rsidP="00206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90B1A" w:rsidRPr="00FF68FD" w:rsidRDefault="00290B1A" w:rsidP="002900D9">
      <w:pPr>
        <w:pStyle w:val="a4"/>
        <w:numPr>
          <w:ilvl w:val="0"/>
          <w:numId w:val="16"/>
        </w:numPr>
        <w:ind w:left="284" w:hanging="284"/>
        <w:jc w:val="both"/>
        <w:rPr>
          <w:color w:val="000000"/>
          <w:sz w:val="20"/>
          <w:szCs w:val="20"/>
        </w:rPr>
      </w:pPr>
      <w:r w:rsidRPr="0020687D">
        <w:rPr>
          <w:b/>
          <w:bCs/>
        </w:rPr>
        <w:t>Наименование государственной услуги</w:t>
      </w:r>
      <w:r w:rsidRPr="00555030">
        <w:t xml:space="preserve"> </w:t>
      </w:r>
      <w:r w:rsidRPr="0020687D">
        <w:t>«Спортивная подготовк</w:t>
      </w:r>
      <w:r w:rsidR="00B70B11">
        <w:t>а по неолимпийским видам спорта»</w:t>
      </w:r>
    </w:p>
    <w:p w:rsidR="00290B1A" w:rsidRPr="00FF68FD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FD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FF68FD">
        <w:rPr>
          <w:rFonts w:ascii="Times New Roman" w:hAnsi="Times New Roman" w:cs="Times New Roman"/>
          <w:sz w:val="24"/>
          <w:szCs w:val="24"/>
        </w:rPr>
        <w:t>»</w:t>
      </w:r>
    </w:p>
    <w:p w:rsidR="00290B1A" w:rsidRPr="0020687D" w:rsidRDefault="00290B1A" w:rsidP="002900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3.Показатели, характеризующие объем  и  (или) качество государственной услуги:</w:t>
      </w:r>
    </w:p>
    <w:p w:rsidR="00290B1A" w:rsidRPr="00B70B11" w:rsidRDefault="00290B1A" w:rsidP="00B70B1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290"/>
        <w:gridCol w:w="1134"/>
        <w:gridCol w:w="1134"/>
        <w:gridCol w:w="1290"/>
        <w:gridCol w:w="1134"/>
        <w:gridCol w:w="2254"/>
        <w:gridCol w:w="950"/>
        <w:gridCol w:w="566"/>
        <w:gridCol w:w="964"/>
        <w:gridCol w:w="907"/>
        <w:gridCol w:w="907"/>
        <w:gridCol w:w="1518"/>
      </w:tblGrid>
      <w:tr w:rsidR="00290B1A" w:rsidRPr="007C22B2" w:rsidTr="00EB5BCE">
        <w:tc>
          <w:tcPr>
            <w:tcW w:w="1322" w:type="dxa"/>
            <w:vMerge w:val="restart"/>
            <w:vAlign w:val="center"/>
          </w:tcPr>
          <w:p w:rsidR="00290B1A" w:rsidRPr="007C22B2" w:rsidRDefault="007C22B2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70" w:type="dxa"/>
            <w:gridSpan w:val="3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B70B11" w:rsidRPr="007C22B2" w:rsidTr="00EB5BCE">
        <w:tc>
          <w:tcPr>
            <w:tcW w:w="1322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7C22B2" w:rsidRDefault="00465860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465860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465860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</w:tr>
      <w:tr w:rsidR="00B70B11" w:rsidRPr="007C22B2" w:rsidTr="00EB5BCE">
        <w:tc>
          <w:tcPr>
            <w:tcW w:w="1322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90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54" w:type="dxa"/>
            <w:vMerge/>
            <w:vAlign w:val="center"/>
          </w:tcPr>
          <w:p w:rsidR="00B70B11" w:rsidRPr="007C22B2" w:rsidRDefault="00B70B11" w:rsidP="00FF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</w:tr>
      <w:tr w:rsidR="00290B1A" w:rsidRPr="007C22B2" w:rsidTr="00EB5BCE">
        <w:tc>
          <w:tcPr>
            <w:tcW w:w="1322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0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AFC" w:rsidRPr="007C22B2" w:rsidTr="00EB5BCE">
        <w:tc>
          <w:tcPr>
            <w:tcW w:w="1322" w:type="dxa"/>
            <w:vAlign w:val="center"/>
          </w:tcPr>
          <w:p w:rsidR="00C60AFC" w:rsidRPr="00FB2065" w:rsidRDefault="00C60AFC" w:rsidP="00F83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931900О.99.0.БВ28АВ85000</w:t>
            </w:r>
          </w:p>
        </w:tc>
        <w:tc>
          <w:tcPr>
            <w:tcW w:w="1290" w:type="dxa"/>
            <w:vAlign w:val="center"/>
          </w:tcPr>
          <w:p w:rsidR="00C60AFC" w:rsidRPr="007C22B2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</w:t>
            </w: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ие</w:t>
            </w:r>
          </w:p>
        </w:tc>
        <w:tc>
          <w:tcPr>
            <w:tcW w:w="1134" w:type="dxa"/>
            <w:vAlign w:val="center"/>
          </w:tcPr>
          <w:p w:rsidR="00C60AFC" w:rsidRPr="007C22B2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60AFC" w:rsidRPr="007C22B2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C60AFC" w:rsidRPr="007C22B2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C60AFC" w:rsidRPr="007C22B2" w:rsidRDefault="00C60AFC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54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597B6E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6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0AFC" w:rsidRPr="00597B6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597B6E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6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0AFC" w:rsidRPr="00597B6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597B6E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6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0AFC" w:rsidRPr="00597B6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60AFC" w:rsidRPr="007C22B2" w:rsidTr="00EB5BCE">
        <w:tc>
          <w:tcPr>
            <w:tcW w:w="1322" w:type="dxa"/>
            <w:vAlign w:val="center"/>
          </w:tcPr>
          <w:p w:rsidR="00C60AFC" w:rsidRPr="00FB2065" w:rsidRDefault="00C60AFC" w:rsidP="009677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931900О.99.0.БВ28АВ86000</w:t>
            </w:r>
          </w:p>
        </w:tc>
        <w:tc>
          <w:tcPr>
            <w:tcW w:w="1290" w:type="dxa"/>
            <w:vAlign w:val="center"/>
          </w:tcPr>
          <w:p w:rsidR="00C60AFC" w:rsidRPr="007C22B2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134" w:type="dxa"/>
            <w:vAlign w:val="center"/>
          </w:tcPr>
          <w:p w:rsidR="00C60AFC" w:rsidRPr="007C22B2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0AFC" w:rsidRPr="007C22B2" w:rsidRDefault="00C60AFC" w:rsidP="00425D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C60AFC" w:rsidRPr="007C22B2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C60AFC" w:rsidRPr="007C22B2" w:rsidRDefault="00C60AFC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597B6E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597B6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597B6E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597B6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597B6E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597B6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:rsidR="00C60AFC" w:rsidRPr="007C22B2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C60AFC" w:rsidRDefault="00290B1A" w:rsidP="00C60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557AE0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557AE0" w:rsidRPr="00C60AF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60AFC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</w:t>
      </w:r>
      <w:r w:rsidR="00EB5BCE">
        <w:t xml:space="preserve">  </w:t>
      </w:r>
      <w:r w:rsidR="00340D75">
        <w:t xml:space="preserve">   </w:t>
      </w:r>
      <w:r w:rsidRPr="00555030">
        <w:t xml:space="preserve">                            </w:t>
      </w:r>
      <w:r>
        <w:t xml:space="preserve">                       </w:t>
      </w:r>
    </w:p>
    <w:p w:rsidR="00290B1A" w:rsidRPr="0020687D" w:rsidRDefault="00290B1A" w:rsidP="002900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9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992"/>
        <w:gridCol w:w="1276"/>
        <w:gridCol w:w="1134"/>
        <w:gridCol w:w="1560"/>
        <w:gridCol w:w="850"/>
        <w:gridCol w:w="571"/>
        <w:gridCol w:w="850"/>
        <w:gridCol w:w="850"/>
        <w:gridCol w:w="850"/>
        <w:gridCol w:w="764"/>
        <w:gridCol w:w="709"/>
        <w:gridCol w:w="850"/>
        <w:gridCol w:w="1276"/>
      </w:tblGrid>
      <w:tr w:rsidR="00EE1290" w:rsidRPr="00EA7E8F" w:rsidTr="00B70B11">
        <w:tc>
          <w:tcPr>
            <w:tcW w:w="907" w:type="dxa"/>
            <w:vMerge w:val="restart"/>
            <w:vAlign w:val="center"/>
          </w:tcPr>
          <w:p w:rsidR="00EE1290" w:rsidRPr="00EA7E8F" w:rsidRDefault="007C22B2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87" w:type="dxa"/>
            <w:gridSpan w:val="3"/>
            <w:vMerge w:val="restart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1" w:type="dxa"/>
            <w:gridSpan w:val="3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23" w:type="dxa"/>
            <w:gridSpan w:val="3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6" w:type="dxa"/>
            <w:vMerge w:val="restart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E1290" w:rsidRPr="00EA7E8F" w:rsidTr="00B70B11">
        <w:tc>
          <w:tcPr>
            <w:tcW w:w="907" w:type="dxa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E1290" w:rsidRPr="00EA7E8F" w:rsidRDefault="00557AE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E1290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EA7E8F" w:rsidRDefault="00EE1290" w:rsidP="00557A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57AE0" w:rsidRPr="00EA7E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EA7E8F" w:rsidRDefault="00557AE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E1290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64" w:type="dxa"/>
            <w:vMerge w:val="restart"/>
            <w:vAlign w:val="center"/>
          </w:tcPr>
          <w:p w:rsidR="00EE1290" w:rsidRPr="00EA7E8F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EE1290" w:rsidRPr="00EA7E8F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EA7E8F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6" w:type="dxa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EA7E8F" w:rsidTr="00B70B11">
        <w:tc>
          <w:tcPr>
            <w:tcW w:w="907" w:type="dxa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1290" w:rsidRPr="00EA7E8F" w:rsidRDefault="00EE1290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EA7E8F" w:rsidTr="00B70B11">
        <w:tc>
          <w:tcPr>
            <w:tcW w:w="907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EE1290" w:rsidRPr="00EA7E8F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EA7E8F" w:rsidTr="00B70B11">
        <w:tc>
          <w:tcPr>
            <w:tcW w:w="907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931900О.99.0.БВ28АВ85000</w:t>
            </w:r>
          </w:p>
        </w:tc>
        <w:tc>
          <w:tcPr>
            <w:tcW w:w="1503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66,33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64" w:type="dxa"/>
            <w:vAlign w:val="center"/>
          </w:tcPr>
          <w:p w:rsidR="00F83629" w:rsidRPr="00EA7E8F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83629" w:rsidRPr="00EA7E8F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EA7E8F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EA7E8F" w:rsidTr="00B70B11">
        <w:tc>
          <w:tcPr>
            <w:tcW w:w="907" w:type="dxa"/>
            <w:vAlign w:val="center"/>
          </w:tcPr>
          <w:p w:rsidR="00F83629" w:rsidRPr="00EA7E8F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931900О.99.0.БВ28АВ86000</w:t>
            </w:r>
          </w:p>
        </w:tc>
        <w:tc>
          <w:tcPr>
            <w:tcW w:w="1503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A7E8F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F83629" w:rsidRPr="00EA7E8F" w:rsidRDefault="00527FF6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64" w:type="dxa"/>
            <w:vAlign w:val="center"/>
          </w:tcPr>
          <w:p w:rsidR="00F83629" w:rsidRPr="00EA7E8F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83629" w:rsidRPr="00EA7E8F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EA7E8F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EA7E8F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66DF1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C60AFC">
        <w:rPr>
          <w:rFonts w:ascii="Times New Roman" w:hAnsi="Times New Roman" w:cs="Times New Roman"/>
          <w:sz w:val="24"/>
          <w:szCs w:val="24"/>
          <w:u w:val="single"/>
        </w:rPr>
        <w:t xml:space="preserve">)      </w:t>
      </w:r>
      <w:r w:rsidR="001946BC" w:rsidRPr="00C60AF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60AF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6DF1" w:rsidRPr="00555030" w:rsidRDefault="00D66DF1" w:rsidP="00D6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66DF1" w:rsidRPr="00555030" w:rsidTr="00A872E1">
        <w:tc>
          <w:tcPr>
            <w:tcW w:w="9614" w:type="dxa"/>
            <w:gridSpan w:val="5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DF1" w:rsidRPr="00FC2492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 w:rsidRPr="00D66D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</w:t>
      </w:r>
      <w:r w:rsidR="00B70B11" w:rsidRPr="00B70B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>приказ министерства спорта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Калужской области </w:t>
      </w:r>
      <w:r w:rsidR="00557AE0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от 12.09.2017    № 356 «О внесении изменений в Устав государственного автономного учреждения  Калужской области «Спортивная школа «Орленок»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  <w:proofErr w:type="gramEnd"/>
    </w:p>
    <w:p w:rsidR="00D66DF1" w:rsidRPr="00B70B11" w:rsidRDefault="00D66DF1" w:rsidP="00B70B1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349"/>
        <w:gridCol w:w="3193"/>
      </w:tblGrid>
      <w:tr w:rsidR="00D66DF1" w:rsidRPr="00555030" w:rsidTr="00EB5BCE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49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6DF1" w:rsidRPr="00555030" w:rsidTr="00EB5BCE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9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DF1" w:rsidRPr="00555030" w:rsidTr="00EB5BCE"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349" w:type="dxa"/>
          </w:tcPr>
          <w:p w:rsidR="00D66DF1" w:rsidRPr="007F75E1" w:rsidRDefault="00D66DF1" w:rsidP="00A87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40D75" w:rsidRPr="00EB5BCE" w:rsidRDefault="00290B1A" w:rsidP="00EB5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CE">
        <w:rPr>
          <w:rFonts w:ascii="Times New Roman" w:hAnsi="Times New Roman" w:cs="Times New Roman"/>
          <w:sz w:val="24"/>
          <w:szCs w:val="24"/>
        </w:rPr>
        <w:t>│</w:t>
      </w:r>
    </w:p>
    <w:p w:rsidR="00290B1A" w:rsidRPr="00852694" w:rsidRDefault="00290B1A" w:rsidP="00C56A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tbl>
      <w:tblPr>
        <w:tblpPr w:leftFromText="180" w:rightFromText="180" w:vertAnchor="text" w:horzAnchor="page" w:tblpX="1240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6"/>
        <w:gridCol w:w="1802"/>
      </w:tblGrid>
      <w:tr w:rsidR="00343186" w:rsidRPr="00EB5BCE" w:rsidTr="005D76A3">
        <w:trPr>
          <w:trHeight w:val="421"/>
        </w:trPr>
        <w:tc>
          <w:tcPr>
            <w:tcW w:w="2116" w:type="dxa"/>
            <w:vAlign w:val="center"/>
          </w:tcPr>
          <w:p w:rsidR="00343186" w:rsidRPr="00EB5BCE" w:rsidRDefault="007C22B2" w:rsidP="0034318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02" w:type="dxa"/>
            <w:vAlign w:val="center"/>
          </w:tcPr>
          <w:p w:rsidR="00343186" w:rsidRPr="00EB5BCE" w:rsidRDefault="007C22B2" w:rsidP="00343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90B1A" w:rsidRPr="00343186" w:rsidRDefault="00290B1A" w:rsidP="00343186">
      <w:pPr>
        <w:pStyle w:val="a4"/>
        <w:numPr>
          <w:ilvl w:val="0"/>
          <w:numId w:val="17"/>
        </w:numPr>
        <w:ind w:left="284" w:hanging="284"/>
        <w:jc w:val="both"/>
        <w:rPr>
          <w:color w:val="000000"/>
          <w:sz w:val="20"/>
          <w:szCs w:val="20"/>
        </w:rPr>
      </w:pPr>
      <w:r w:rsidRPr="00C56A6A">
        <w:rPr>
          <w:b/>
          <w:bCs/>
        </w:rPr>
        <w:t>Наименование государственной услуги</w:t>
      </w:r>
      <w:r w:rsidRPr="00555030">
        <w:t xml:space="preserve"> </w:t>
      </w:r>
      <w:r w:rsidRPr="00C56A6A">
        <w:t xml:space="preserve">«Спортивная подготовка по неолимпийским видам спорта» </w:t>
      </w:r>
    </w:p>
    <w:p w:rsidR="00290B1A" w:rsidRPr="00F81849" w:rsidRDefault="00290B1A" w:rsidP="0034318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18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56A6A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A6A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290B1A" w:rsidRPr="00C56A6A" w:rsidRDefault="00290B1A" w:rsidP="00904E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3.Показатели, характеризующие объем  и  (или) качество государственной услуги:</w:t>
      </w:r>
    </w:p>
    <w:p w:rsidR="00290B1A" w:rsidRPr="00EB5BCE" w:rsidRDefault="00290B1A" w:rsidP="00EB5BC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</w:t>
      </w:r>
      <w:r w:rsidR="00EB5BCE">
        <w:rPr>
          <w:rFonts w:ascii="Times New Roman" w:hAnsi="Times New Roman" w:cs="Times New Roman"/>
          <w:b/>
          <w:bCs/>
          <w:sz w:val="24"/>
          <w:szCs w:val="24"/>
        </w:rPr>
        <w:t>ачество государственной услуги:</w:t>
      </w:r>
    </w:p>
    <w:tbl>
      <w:tblPr>
        <w:tblW w:w="1594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32"/>
        <w:gridCol w:w="1134"/>
        <w:gridCol w:w="1134"/>
        <w:gridCol w:w="1641"/>
        <w:gridCol w:w="1343"/>
        <w:gridCol w:w="2268"/>
        <w:gridCol w:w="950"/>
        <w:gridCol w:w="566"/>
        <w:gridCol w:w="964"/>
        <w:gridCol w:w="907"/>
        <w:gridCol w:w="907"/>
        <w:gridCol w:w="1376"/>
      </w:tblGrid>
      <w:tr w:rsidR="00290B1A" w:rsidRPr="00EA7E8F" w:rsidTr="006350F8">
        <w:tc>
          <w:tcPr>
            <w:tcW w:w="1322" w:type="dxa"/>
            <w:vMerge w:val="restart"/>
            <w:vAlign w:val="center"/>
          </w:tcPr>
          <w:p w:rsidR="00290B1A" w:rsidRPr="00EA7E8F" w:rsidRDefault="007C22B2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номер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3700" w:type="dxa"/>
            <w:gridSpan w:val="3"/>
            <w:vMerge w:val="restart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984" w:type="dxa"/>
            <w:gridSpan w:val="2"/>
            <w:vMerge w:val="restart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EA7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4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B70B11" w:rsidRPr="00EA7E8F" w:rsidTr="006350F8">
        <w:tc>
          <w:tcPr>
            <w:tcW w:w="1322" w:type="dxa"/>
            <w:vMerge/>
            <w:vAlign w:val="center"/>
          </w:tcPr>
          <w:p w:rsidR="00B70B11" w:rsidRPr="00EA7E8F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Merge/>
            <w:vAlign w:val="center"/>
          </w:tcPr>
          <w:p w:rsidR="00B70B11" w:rsidRPr="00EA7E8F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B70B11" w:rsidRPr="00EA7E8F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A7E8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EA7E8F" w:rsidRDefault="005F060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EA7E8F" w:rsidRDefault="005F060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EA7E8F" w:rsidRDefault="005F060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70B11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B70B11" w:rsidRPr="00EA7E8F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B70B11" w:rsidRPr="00EA7E8F" w:rsidTr="006350F8">
        <w:tc>
          <w:tcPr>
            <w:tcW w:w="1322" w:type="dxa"/>
            <w:vMerge/>
            <w:vAlign w:val="center"/>
          </w:tcPr>
          <w:p w:rsidR="00B70B11" w:rsidRPr="00EA7E8F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1" w:type="dxa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43" w:type="dxa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70B11" w:rsidRPr="00EA7E8F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EA7E8F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B70B11" w:rsidRPr="00EA7E8F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EA7E8F" w:rsidTr="006350F8">
        <w:tc>
          <w:tcPr>
            <w:tcW w:w="1322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1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Align w:val="center"/>
          </w:tcPr>
          <w:p w:rsidR="00290B1A" w:rsidRPr="00EA7E8F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AFC" w:rsidRPr="00EA7E8F" w:rsidTr="006350F8">
        <w:tc>
          <w:tcPr>
            <w:tcW w:w="1322" w:type="dxa"/>
            <w:vAlign w:val="center"/>
          </w:tcPr>
          <w:p w:rsidR="00C60AFC" w:rsidRPr="00EA7E8F" w:rsidRDefault="00C60AFC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931900О.99.0.БВ28АВ95000</w:t>
            </w:r>
          </w:p>
        </w:tc>
        <w:tc>
          <w:tcPr>
            <w:tcW w:w="1432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1134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343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60AFC" w:rsidRPr="00EA7E8F" w:rsidRDefault="005D76A3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C60AFC" w:rsidRPr="00EA7E8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C60AFC" w:rsidRPr="00EA7E8F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0AFC" w:rsidRPr="00EA7E8F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0AFC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0AFC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0AFC" w:rsidRPr="00EA7E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76" w:type="dxa"/>
            <w:vAlign w:val="center"/>
          </w:tcPr>
          <w:p w:rsidR="00C60AFC" w:rsidRPr="00EA7E8F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60AFC" w:rsidRPr="00EA7E8F" w:rsidTr="006350F8">
        <w:tc>
          <w:tcPr>
            <w:tcW w:w="1322" w:type="dxa"/>
            <w:vAlign w:val="center"/>
          </w:tcPr>
          <w:p w:rsidR="00C60AFC" w:rsidRPr="00EA7E8F" w:rsidRDefault="00C60AFC" w:rsidP="00967721">
            <w:pPr>
              <w:jc w:val="center"/>
              <w:rPr>
                <w:color w:val="000000"/>
                <w:sz w:val="18"/>
                <w:szCs w:val="18"/>
              </w:rPr>
            </w:pPr>
            <w:r w:rsidRPr="00EA7E8F">
              <w:rPr>
                <w:color w:val="000000"/>
                <w:sz w:val="18"/>
                <w:szCs w:val="18"/>
              </w:rPr>
              <w:t>931900О.99.0.БВ28АВ96000</w:t>
            </w:r>
          </w:p>
        </w:tc>
        <w:tc>
          <w:tcPr>
            <w:tcW w:w="1432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1134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343" w:type="dxa"/>
            <w:vAlign w:val="center"/>
          </w:tcPr>
          <w:p w:rsidR="00C60AFC" w:rsidRPr="00EA7E8F" w:rsidRDefault="00C60AFC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60AFC" w:rsidRPr="00EA7E8F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60AFC" w:rsidRPr="00EA7E8F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0AFC" w:rsidRPr="00EA7E8F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0AFC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60AFC" w:rsidRPr="00EA7E8F" w:rsidRDefault="00597B6E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0AFC" w:rsidRPr="00EA7E8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376" w:type="dxa"/>
            <w:vAlign w:val="center"/>
          </w:tcPr>
          <w:p w:rsidR="00C60AFC" w:rsidRPr="00EA7E8F" w:rsidRDefault="00C60AFC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E8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C60AFC" w:rsidRDefault="00290B1A" w:rsidP="00C60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2F07EB">
        <w:rPr>
          <w:rFonts w:ascii="Times New Roman" w:hAnsi="Times New Roman" w:cs="Times New Roman"/>
          <w:sz w:val="24"/>
          <w:szCs w:val="24"/>
        </w:rPr>
        <w:t>тся выполненным (процентов) 10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</w:t>
      </w:r>
      <w:r w:rsidR="00107F62">
        <w:t xml:space="preserve">  </w:t>
      </w:r>
      <w:r w:rsidRPr="00555030">
        <w:t xml:space="preserve">                               </w:t>
      </w:r>
      <w:r>
        <w:t xml:space="preserve">                       </w:t>
      </w:r>
    </w:p>
    <w:p w:rsidR="00290B1A" w:rsidRPr="00C56A6A" w:rsidRDefault="00290B1A" w:rsidP="00017B9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</w:t>
      </w:r>
      <w:r w:rsidR="00017B98">
        <w:rPr>
          <w:rFonts w:ascii="Times New Roman" w:hAnsi="Times New Roman" w:cs="Times New Roman"/>
          <w:b/>
          <w:bCs/>
          <w:sz w:val="24"/>
          <w:szCs w:val="24"/>
        </w:rPr>
        <w:t>е объем государственной услуги: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992"/>
        <w:gridCol w:w="992"/>
        <w:gridCol w:w="1134"/>
        <w:gridCol w:w="1134"/>
        <w:gridCol w:w="1418"/>
        <w:gridCol w:w="989"/>
        <w:gridCol w:w="571"/>
        <w:gridCol w:w="850"/>
        <w:gridCol w:w="850"/>
        <w:gridCol w:w="850"/>
        <w:gridCol w:w="900"/>
        <w:gridCol w:w="900"/>
        <w:gridCol w:w="900"/>
        <w:gridCol w:w="1128"/>
      </w:tblGrid>
      <w:tr w:rsidR="00EE1290" w:rsidRPr="007C22B2" w:rsidTr="00C60AFC">
        <w:tc>
          <w:tcPr>
            <w:tcW w:w="907" w:type="dxa"/>
            <w:vMerge w:val="restart"/>
            <w:vAlign w:val="center"/>
          </w:tcPr>
          <w:p w:rsidR="00EE1290" w:rsidRPr="007C22B2" w:rsidRDefault="007C22B2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04" w:type="dxa"/>
            <w:gridSpan w:val="3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700" w:type="dxa"/>
            <w:gridSpan w:val="3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28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E1290" w:rsidRPr="007C22B2" w:rsidTr="00C60AFC">
        <w:tc>
          <w:tcPr>
            <w:tcW w:w="907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E1290" w:rsidRPr="007C22B2" w:rsidRDefault="002F07EB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E1290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7C22B2" w:rsidRDefault="002F07EB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E1290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7C22B2" w:rsidRDefault="002F07EB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="00EE1290" w:rsidRPr="007C22B2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28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7C22B2" w:rsidTr="00C60AFC">
        <w:tc>
          <w:tcPr>
            <w:tcW w:w="907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7C22B2" w:rsidTr="00C60AFC">
        <w:tc>
          <w:tcPr>
            <w:tcW w:w="907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7C22B2" w:rsidTr="00C60AFC">
        <w:tc>
          <w:tcPr>
            <w:tcW w:w="907" w:type="dxa"/>
            <w:vAlign w:val="center"/>
          </w:tcPr>
          <w:p w:rsidR="00F83629" w:rsidRPr="00FB2065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931900О.99.0.БВ28АВ95000</w:t>
            </w:r>
          </w:p>
        </w:tc>
        <w:tc>
          <w:tcPr>
            <w:tcW w:w="122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proofErr w:type="gramStart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начальной</w:t>
            </w:r>
            <w:proofErr w:type="gramEnd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3629" w:rsidRPr="007C22B2" w:rsidRDefault="00EA7E8F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="00F83629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2654D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F83629" w:rsidRPr="007C22B2" w:rsidRDefault="002654D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F83629" w:rsidRPr="007C22B2" w:rsidRDefault="002654D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C60AFC">
        <w:tc>
          <w:tcPr>
            <w:tcW w:w="907" w:type="dxa"/>
            <w:vAlign w:val="center"/>
          </w:tcPr>
          <w:p w:rsidR="00F83629" w:rsidRPr="00FB2065" w:rsidRDefault="00F83629" w:rsidP="009677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931900О.99.0.БВ28АВ96000</w:t>
            </w:r>
          </w:p>
        </w:tc>
        <w:tc>
          <w:tcPr>
            <w:tcW w:w="122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</w:t>
            </w:r>
            <w:proofErr w:type="gramStart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спор-</w:t>
            </w:r>
            <w:proofErr w:type="spellStart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тивной</w:t>
            </w:r>
            <w:proofErr w:type="spellEnd"/>
            <w:proofErr w:type="gramEnd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специа-лизации</w:t>
            </w:r>
            <w:proofErr w:type="spellEnd"/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2654D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F83629" w:rsidRPr="007C22B2" w:rsidRDefault="002654D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24,66</w:t>
            </w:r>
          </w:p>
        </w:tc>
        <w:tc>
          <w:tcPr>
            <w:tcW w:w="850" w:type="dxa"/>
            <w:vAlign w:val="center"/>
          </w:tcPr>
          <w:p w:rsidR="00F83629" w:rsidRPr="007C22B2" w:rsidRDefault="002654D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66DF1" w:rsidRDefault="00290B1A" w:rsidP="00904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)      </w:t>
      </w:r>
      <w:r w:rsidR="002F07EB" w:rsidRPr="00425D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25DA4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DF1" w:rsidRPr="00555030" w:rsidRDefault="00D66DF1" w:rsidP="00D6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66DF1" w:rsidRPr="00555030" w:rsidTr="00A872E1">
        <w:tc>
          <w:tcPr>
            <w:tcW w:w="9614" w:type="dxa"/>
            <w:gridSpan w:val="5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DF1" w:rsidRPr="00FC2492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 w:rsidRPr="00D66D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29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5D76A3">
        <w:rPr>
          <w:rFonts w:ascii="Times New Roman" w:hAnsi="Times New Roman" w:cs="Times New Roman"/>
          <w:b w:val="0"/>
          <w:bCs w:val="0"/>
          <w:sz w:val="24"/>
          <w:szCs w:val="24"/>
        </w:rPr>
        <w:t>приказ министерства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спорта Калужской области </w:t>
      </w:r>
      <w:r w:rsidR="002F07EB" w:rsidRPr="00557AE0">
        <w:rPr>
          <w:rFonts w:ascii="Times New Roman" w:hAnsi="Times New Roman" w:cs="Times New Roman"/>
          <w:b w:val="0"/>
          <w:bCs w:val="0"/>
          <w:sz w:val="24"/>
          <w:szCs w:val="24"/>
        </w:rPr>
        <w:t>от 12.09.2017    № 356 «О внесении изменений в Устав государственного автономного учреждения  Калужской области «Спортивная школа «Орленок»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  <w:proofErr w:type="gramEnd"/>
    </w:p>
    <w:p w:rsidR="00D66DF1" w:rsidRPr="00F277FC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633"/>
        <w:gridCol w:w="3193"/>
      </w:tblGrid>
      <w:tr w:rsidR="00D66DF1" w:rsidRPr="00555030" w:rsidTr="00EE1290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63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6DF1" w:rsidRPr="00555030" w:rsidTr="00EE1290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DF1" w:rsidRPr="00555030" w:rsidTr="00EE1290"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633" w:type="dxa"/>
          </w:tcPr>
          <w:p w:rsidR="00D66DF1" w:rsidRPr="007F75E1" w:rsidRDefault="00D66DF1" w:rsidP="00A87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630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│</w:t>
      </w:r>
    </w:p>
    <w:p w:rsidR="00BA52FD" w:rsidRPr="0026211A" w:rsidRDefault="00BA52FD" w:rsidP="00BA52FD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BA52FD" w:rsidRPr="00F27B95" w:rsidRDefault="00BA52FD" w:rsidP="00BA52FD">
      <w:pPr>
        <w:jc w:val="both"/>
        <w:rPr>
          <w:sz w:val="22"/>
          <w:szCs w:val="22"/>
        </w:rPr>
      </w:pPr>
    </w:p>
    <w:p w:rsidR="00BA52FD" w:rsidRPr="0052336B" w:rsidRDefault="00BA52FD" w:rsidP="00BA52FD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BA52FD" w:rsidRPr="0052336B" w:rsidRDefault="00BA52FD" w:rsidP="00BA52FD">
      <w:pPr>
        <w:ind w:firstLine="180"/>
        <w:jc w:val="both"/>
        <w:rPr>
          <w:sz w:val="22"/>
          <w:szCs w:val="22"/>
        </w:rPr>
      </w:pPr>
    </w:p>
    <w:p w:rsidR="00BA52FD" w:rsidRPr="0052336B" w:rsidRDefault="00BA52FD" w:rsidP="00BA52FD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BA52FD" w:rsidRPr="0052336B" w:rsidRDefault="00BA52FD" w:rsidP="00BA52FD">
      <w:pPr>
        <w:jc w:val="both"/>
        <w:rPr>
          <w:sz w:val="22"/>
          <w:szCs w:val="22"/>
        </w:rPr>
      </w:pPr>
    </w:p>
    <w:p w:rsidR="00BA52FD" w:rsidRPr="0052336B" w:rsidRDefault="00BA52FD" w:rsidP="00BA52FD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BA52FD" w:rsidRPr="0052336B" w:rsidRDefault="00BA52FD" w:rsidP="00BA52FD">
      <w:pPr>
        <w:jc w:val="both"/>
        <w:rPr>
          <w:sz w:val="22"/>
          <w:szCs w:val="22"/>
        </w:rPr>
      </w:pPr>
    </w:p>
    <w:p w:rsidR="00BA52FD" w:rsidRPr="0052336B" w:rsidRDefault="00BA52FD" w:rsidP="00BA52FD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5D76A3" w:rsidRDefault="005D76A3" w:rsidP="005D76A3">
      <w:pPr>
        <w:jc w:val="both"/>
        <w:rPr>
          <w:sz w:val="22"/>
          <w:szCs w:val="22"/>
        </w:rPr>
      </w:pPr>
    </w:p>
    <w:p w:rsidR="00BA52FD" w:rsidRPr="00F7554E" w:rsidRDefault="00425DA4" w:rsidP="005D76A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BA52FD" w:rsidRPr="0052336B">
        <w:rPr>
          <w:sz w:val="22"/>
          <w:szCs w:val="22"/>
        </w:rPr>
        <w:t>ачеств</w:t>
      </w:r>
      <w:r>
        <w:rPr>
          <w:sz w:val="22"/>
          <w:szCs w:val="22"/>
        </w:rPr>
        <w:t xml:space="preserve">енные показатели </w:t>
      </w:r>
      <w:r w:rsidR="00BA52FD" w:rsidRPr="00F7554E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</w:t>
      </w:r>
      <w:r>
        <w:rPr>
          <w:sz w:val="22"/>
          <w:szCs w:val="22"/>
        </w:rPr>
        <w:t xml:space="preserve">едших спортивную подготовку на этапе </w:t>
      </w:r>
      <w:r w:rsidR="00BA52FD" w:rsidRPr="00F7554E">
        <w:rPr>
          <w:sz w:val="22"/>
          <w:szCs w:val="22"/>
        </w:rPr>
        <w:t>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BA52FD" w:rsidRPr="00F7554E">
        <w:rPr>
          <w:sz w:val="22"/>
          <w:szCs w:val="22"/>
        </w:rPr>
        <w:t xml:space="preserve"> </w:t>
      </w:r>
      <w:proofErr w:type="gramStart"/>
      <w:r w:rsidR="00BA52FD" w:rsidRPr="00F7554E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 xml:space="preserve">программ спортивной подготовки </w:t>
      </w:r>
      <w:r w:rsidR="00BA52FD" w:rsidRPr="00F7554E">
        <w:rPr>
          <w:sz w:val="22"/>
          <w:szCs w:val="22"/>
        </w:rPr>
        <w:t xml:space="preserve">на этапе высшего спортивного мастерства» </w:t>
      </w:r>
      <w:r>
        <w:rPr>
          <w:sz w:val="22"/>
          <w:szCs w:val="22"/>
        </w:rPr>
        <w:t>рассчитываются</w:t>
      </w:r>
      <w:r w:rsidRPr="00F7554E">
        <w:rPr>
          <w:sz w:val="22"/>
          <w:szCs w:val="22"/>
        </w:rPr>
        <w:t xml:space="preserve"> </w:t>
      </w:r>
      <w:r w:rsidR="00BA52FD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132C98" w:rsidRDefault="00132C98" w:rsidP="00C56A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CB7795" w:rsidRDefault="00290B1A" w:rsidP="00C56A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75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 </w:t>
      </w:r>
    </w:p>
    <w:p w:rsidR="007C22B2" w:rsidRDefault="007C22B2" w:rsidP="00B70B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CB7795" w:rsidRDefault="00290B1A" w:rsidP="00B70B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470"/>
      </w:tblGrid>
      <w:tr w:rsidR="00290B1A" w:rsidRPr="001B6CA9" w:rsidTr="00EA7E8F">
        <w:trPr>
          <w:trHeight w:val="465"/>
        </w:trPr>
        <w:tc>
          <w:tcPr>
            <w:tcW w:w="1899" w:type="dxa"/>
            <w:vAlign w:val="center"/>
          </w:tcPr>
          <w:p w:rsidR="00290B1A" w:rsidRPr="00017B98" w:rsidRDefault="00290B1A" w:rsidP="00017B9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290B1A" w:rsidRPr="001B6CA9" w:rsidRDefault="00290B1A" w:rsidP="001B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B1A" w:rsidRPr="00343186" w:rsidRDefault="00290B1A" w:rsidP="00343186">
      <w:pPr>
        <w:pStyle w:val="ConsPlusNonforma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343186" w:rsidRPr="00651C0F">
        <w:rPr>
          <w:rFonts w:ascii="Times New Roman" w:hAnsi="Times New Roman" w:cs="Times New Roman"/>
          <w:sz w:val="24"/>
          <w:szCs w:val="24"/>
        </w:rPr>
        <w:t>«</w:t>
      </w:r>
      <w:r w:rsidR="00343186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343186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290B1A" w:rsidRPr="000D02EF" w:rsidRDefault="00290B1A" w:rsidP="00343186">
      <w:pPr>
        <w:pStyle w:val="ConsPlusNonformat"/>
        <w:numPr>
          <w:ilvl w:val="0"/>
          <w:numId w:val="20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76FA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0D02EF">
        <w:rPr>
          <w:rFonts w:ascii="Times New Roman" w:hAnsi="Times New Roman" w:cs="Times New Roman"/>
          <w:sz w:val="24"/>
          <w:szCs w:val="24"/>
        </w:rPr>
        <w:t xml:space="preserve">»  </w:t>
      </w:r>
      <w:r w:rsidRPr="000D02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0D02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B1A" w:rsidRPr="00C56A6A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работы:</w:t>
      </w:r>
    </w:p>
    <w:p w:rsidR="00290B1A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471"/>
      <w:bookmarkEnd w:id="1"/>
      <w:r w:rsidRPr="00C56A6A">
        <w:rPr>
          <w:rFonts w:ascii="Times New Roman" w:hAnsi="Times New Roman" w:cs="Times New Roman"/>
          <w:b/>
          <w:bCs/>
          <w:sz w:val="24"/>
          <w:szCs w:val="24"/>
        </w:rPr>
        <w:t>3.</w:t>
      </w:r>
      <w:bookmarkStart w:id="2" w:name="P551"/>
      <w:bookmarkEnd w:id="2"/>
      <w:r w:rsidRPr="00C56A6A">
        <w:rPr>
          <w:rFonts w:ascii="Times New Roman" w:hAnsi="Times New Roman" w:cs="Times New Roman"/>
          <w:b/>
          <w:bCs/>
          <w:sz w:val="24"/>
          <w:szCs w:val="24"/>
        </w:rPr>
        <w:t>1.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оказатели, характеризующие качество</w:t>
      </w:r>
      <w:r w:rsidRPr="00C56A6A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</w:p>
    <w:tbl>
      <w:tblPr>
        <w:tblW w:w="15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80"/>
        <w:gridCol w:w="1134"/>
        <w:gridCol w:w="2268"/>
        <w:gridCol w:w="950"/>
        <w:gridCol w:w="566"/>
        <w:gridCol w:w="964"/>
        <w:gridCol w:w="1007"/>
        <w:gridCol w:w="1134"/>
        <w:gridCol w:w="1814"/>
      </w:tblGrid>
      <w:tr w:rsidR="00290B1A" w:rsidRPr="007C22B2" w:rsidTr="007C22B2">
        <w:tc>
          <w:tcPr>
            <w:tcW w:w="907" w:type="dxa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4" w:type="dxa"/>
            <w:gridSpan w:val="3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70B11" w:rsidRPr="007C22B2" w:rsidTr="007C22B2">
        <w:tc>
          <w:tcPr>
            <w:tcW w:w="907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2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072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B70B11" w:rsidRPr="007C22B2" w:rsidRDefault="00B072FB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  <w:vAlign w:val="center"/>
          </w:tcPr>
          <w:p w:rsidR="00B70B11" w:rsidRPr="007C22B2" w:rsidRDefault="00B072FB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</w:t>
            </w:r>
            <w:r w:rsidR="00B70B11"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814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</w:tr>
      <w:tr w:rsidR="00B70B11" w:rsidRPr="007C22B2" w:rsidTr="007C22B2">
        <w:tc>
          <w:tcPr>
            <w:tcW w:w="907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0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70B11" w:rsidRPr="007C22B2" w:rsidRDefault="00B70B11" w:rsidP="0047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</w:tr>
      <w:tr w:rsidR="00290B1A" w:rsidRPr="007C22B2" w:rsidTr="007C22B2">
        <w:tc>
          <w:tcPr>
            <w:tcW w:w="907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290B1A" w:rsidRPr="007C22B2" w:rsidRDefault="00776FAD" w:rsidP="00776F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17B98" w:rsidRPr="007C22B2" w:rsidTr="005D76A3">
        <w:trPr>
          <w:trHeight w:val="808"/>
        </w:trPr>
        <w:tc>
          <w:tcPr>
            <w:tcW w:w="907" w:type="dxa"/>
            <w:vMerge w:val="restart"/>
            <w:vAlign w:val="center"/>
          </w:tcPr>
          <w:p w:rsidR="00017B98" w:rsidRPr="007C22B2" w:rsidRDefault="00DF78A4" w:rsidP="00776FAD">
            <w:pPr>
              <w:jc w:val="center"/>
              <w:rPr>
                <w:color w:val="000000"/>
                <w:sz w:val="18"/>
                <w:szCs w:val="18"/>
              </w:rPr>
            </w:pPr>
            <w:r w:rsidRPr="007C22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132C98" w:rsidRDefault="00132C98" w:rsidP="00772B9D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 xml:space="preserve">Доля лиц, зачисленных </w:t>
            </w:r>
          </w:p>
          <w:p w:rsidR="00017B98" w:rsidRPr="007C22B2" w:rsidRDefault="00132C98" w:rsidP="00772B9D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17B98" w:rsidRPr="005D76A3" w:rsidRDefault="005D76A3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32C98" w:rsidRPr="005D76A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07" w:type="dxa"/>
            <w:vAlign w:val="center"/>
          </w:tcPr>
          <w:p w:rsidR="00017B98" w:rsidRPr="005D76A3" w:rsidRDefault="005D76A3" w:rsidP="00772B9D">
            <w:pPr>
              <w:jc w:val="center"/>
              <w:rPr>
                <w:sz w:val="18"/>
                <w:szCs w:val="18"/>
              </w:rPr>
            </w:pPr>
            <w:r w:rsidRPr="005D76A3">
              <w:rPr>
                <w:sz w:val="18"/>
                <w:szCs w:val="18"/>
              </w:rPr>
              <w:t>10</w:t>
            </w:r>
            <w:r w:rsidR="00132C98" w:rsidRPr="005D76A3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17B98" w:rsidRPr="005D76A3" w:rsidRDefault="005D76A3" w:rsidP="00772B9D">
            <w:pPr>
              <w:jc w:val="center"/>
              <w:rPr>
                <w:sz w:val="18"/>
                <w:szCs w:val="18"/>
              </w:rPr>
            </w:pPr>
            <w:r w:rsidRPr="005D76A3">
              <w:rPr>
                <w:sz w:val="18"/>
                <w:szCs w:val="18"/>
              </w:rPr>
              <w:t>10</w:t>
            </w:r>
            <w:r w:rsidR="00132C98" w:rsidRPr="005D76A3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17B98" w:rsidRPr="007C22B2" w:rsidTr="007C22B2">
        <w:trPr>
          <w:trHeight w:val="643"/>
        </w:trPr>
        <w:tc>
          <w:tcPr>
            <w:tcW w:w="907" w:type="dxa"/>
            <w:vMerge/>
            <w:vAlign w:val="center"/>
          </w:tcPr>
          <w:p w:rsidR="00017B98" w:rsidRPr="007C22B2" w:rsidRDefault="00017B98" w:rsidP="00776F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7B98" w:rsidRPr="007C22B2" w:rsidRDefault="00017B98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sz w:val="18"/>
                <w:szCs w:val="18"/>
              </w:rPr>
              <w:t xml:space="preserve">Охват </w:t>
            </w:r>
            <w:proofErr w:type="gramStart"/>
            <w:r w:rsidRPr="007C22B2">
              <w:rPr>
                <w:sz w:val="18"/>
                <w:szCs w:val="18"/>
              </w:rPr>
              <w:t>занимающихся</w:t>
            </w:r>
            <w:proofErr w:type="gramEnd"/>
            <w:r w:rsidRPr="007C22B2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17B98" w:rsidRPr="005D76A3" w:rsidRDefault="00597B6E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17B98" w:rsidRPr="005D76A3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007" w:type="dxa"/>
            <w:vAlign w:val="center"/>
          </w:tcPr>
          <w:p w:rsidR="00017B98" w:rsidRPr="005D76A3" w:rsidRDefault="00597B6E" w:rsidP="00772B9D">
            <w:pPr>
              <w:jc w:val="center"/>
              <w:rPr>
                <w:sz w:val="18"/>
                <w:szCs w:val="18"/>
              </w:rPr>
            </w:pPr>
            <w:r w:rsidRPr="005D76A3">
              <w:rPr>
                <w:sz w:val="18"/>
                <w:szCs w:val="18"/>
              </w:rPr>
              <w:t>5</w:t>
            </w:r>
            <w:r w:rsidR="00017B98" w:rsidRPr="005D76A3">
              <w:rPr>
                <w:sz w:val="18"/>
                <w:szCs w:val="18"/>
              </w:rPr>
              <w:t>0**</w:t>
            </w:r>
          </w:p>
        </w:tc>
        <w:tc>
          <w:tcPr>
            <w:tcW w:w="1134" w:type="dxa"/>
            <w:vAlign w:val="center"/>
          </w:tcPr>
          <w:p w:rsidR="00017B98" w:rsidRPr="005D76A3" w:rsidRDefault="00597B6E" w:rsidP="00772B9D">
            <w:pPr>
              <w:jc w:val="center"/>
              <w:rPr>
                <w:sz w:val="18"/>
                <w:szCs w:val="18"/>
              </w:rPr>
            </w:pPr>
            <w:r w:rsidRPr="005D76A3">
              <w:rPr>
                <w:sz w:val="18"/>
                <w:szCs w:val="18"/>
              </w:rPr>
              <w:t>5</w:t>
            </w:r>
            <w:r w:rsidR="00017B98" w:rsidRPr="005D76A3">
              <w:rPr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017B98" w:rsidRDefault="00290B1A" w:rsidP="001B6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072FB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F81849" w:rsidRPr="00F81849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2FD" w:rsidRDefault="00BA52FD" w:rsidP="00BA52FD">
      <w:pPr>
        <w:jc w:val="both"/>
        <w:rPr>
          <w:b/>
          <w:u w:val="single"/>
        </w:rPr>
      </w:pPr>
    </w:p>
    <w:p w:rsidR="00BA52FD" w:rsidRPr="0026211A" w:rsidRDefault="00BA52FD" w:rsidP="00BA52FD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8C303A" w:rsidRPr="007E5D10" w:rsidRDefault="008C303A" w:rsidP="008C303A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8C303A" w:rsidRPr="00933C08" w:rsidRDefault="008C303A" w:rsidP="008C3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8C303A" w:rsidRDefault="008C303A" w:rsidP="008C303A">
      <w:pPr>
        <w:jc w:val="both"/>
        <w:rPr>
          <w:sz w:val="22"/>
          <w:szCs w:val="22"/>
        </w:rPr>
      </w:pPr>
    </w:p>
    <w:p w:rsidR="008C303A" w:rsidRPr="00933C08" w:rsidRDefault="008C303A" w:rsidP="008C303A">
      <w:pPr>
        <w:jc w:val="both"/>
        <w:rPr>
          <w:sz w:val="22"/>
          <w:szCs w:val="22"/>
        </w:rPr>
      </w:pP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8C303A" w:rsidRDefault="008C303A" w:rsidP="001B6CA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1418A2" w:rsidRDefault="00290B1A" w:rsidP="001B6CA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8A2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работы: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134"/>
        <w:gridCol w:w="1134"/>
        <w:gridCol w:w="2000"/>
        <w:gridCol w:w="1134"/>
        <w:gridCol w:w="720"/>
        <w:gridCol w:w="907"/>
        <w:gridCol w:w="624"/>
        <w:gridCol w:w="629"/>
        <w:gridCol w:w="907"/>
        <w:gridCol w:w="850"/>
        <w:gridCol w:w="864"/>
        <w:gridCol w:w="1445"/>
      </w:tblGrid>
      <w:tr w:rsidR="00290B1A" w:rsidRPr="007C22B2" w:rsidTr="00EE1290">
        <w:tc>
          <w:tcPr>
            <w:tcW w:w="1800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0" w:type="dxa"/>
            <w:gridSpan w:val="4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45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90B1A" w:rsidRPr="007C22B2" w:rsidTr="00EE1290">
        <w:tc>
          <w:tcPr>
            <w:tcW w:w="180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8" w:type="dxa"/>
            <w:gridSpan w:val="3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29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290B1A" w:rsidRPr="007C22B2" w:rsidRDefault="00B072FB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90B1A" w:rsidRPr="007C22B2" w:rsidRDefault="00B072FB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290B1A" w:rsidRPr="007C22B2" w:rsidRDefault="00B072FB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45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EE1290">
        <w:tc>
          <w:tcPr>
            <w:tcW w:w="180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2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29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EE1290">
        <w:tc>
          <w:tcPr>
            <w:tcW w:w="18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5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6FAD" w:rsidRPr="007C22B2" w:rsidTr="002D15DD">
        <w:trPr>
          <w:trHeight w:val="305"/>
        </w:trPr>
        <w:tc>
          <w:tcPr>
            <w:tcW w:w="1800" w:type="dxa"/>
            <w:vAlign w:val="center"/>
          </w:tcPr>
          <w:p w:rsidR="00776FAD" w:rsidRPr="007C22B2" w:rsidRDefault="00DF78A4" w:rsidP="00EE1290">
            <w:pPr>
              <w:jc w:val="center"/>
              <w:rPr>
                <w:color w:val="000000"/>
                <w:sz w:val="18"/>
                <w:szCs w:val="18"/>
              </w:rPr>
            </w:pPr>
            <w:r w:rsidRPr="007C22B2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0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76FAD" w:rsidRPr="007C22B2" w:rsidRDefault="00017B98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07" w:type="dxa"/>
            <w:vAlign w:val="center"/>
          </w:tcPr>
          <w:p w:rsidR="00776FAD" w:rsidRPr="007C22B2" w:rsidRDefault="00017B98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62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776FAD" w:rsidRPr="007C22B2" w:rsidRDefault="00575092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221,33</w:t>
            </w:r>
          </w:p>
        </w:tc>
        <w:tc>
          <w:tcPr>
            <w:tcW w:w="850" w:type="dxa"/>
            <w:vAlign w:val="center"/>
          </w:tcPr>
          <w:p w:rsidR="00776FAD" w:rsidRPr="007C22B2" w:rsidRDefault="00575092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177,33</w:t>
            </w:r>
          </w:p>
        </w:tc>
        <w:tc>
          <w:tcPr>
            <w:tcW w:w="864" w:type="dxa"/>
            <w:vAlign w:val="center"/>
          </w:tcPr>
          <w:p w:rsidR="00776FAD" w:rsidRPr="007C22B2" w:rsidRDefault="00575092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147,66</w:t>
            </w:r>
          </w:p>
        </w:tc>
        <w:tc>
          <w:tcPr>
            <w:tcW w:w="1445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555030" w:rsidRDefault="00776FAD" w:rsidP="001B6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="00290B1A" w:rsidRPr="00555030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</w:t>
      </w:r>
      <w:r w:rsidR="00290B1A">
        <w:rPr>
          <w:rFonts w:ascii="Times New Roman" w:hAnsi="Times New Roman" w:cs="Times New Roman"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sz w:val="24"/>
          <w:szCs w:val="24"/>
        </w:rPr>
        <w:t>работы, в</w:t>
      </w:r>
      <w:r w:rsidR="00290B1A" w:rsidRPr="00555030">
        <w:rPr>
          <w:rFonts w:ascii="Times New Roman" w:hAnsi="Times New Roman" w:cs="Times New Roman"/>
          <w:sz w:val="24"/>
          <w:szCs w:val="24"/>
        </w:rPr>
        <w:t xml:space="preserve"> предела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290B1A" w:rsidRPr="00555030">
        <w:rPr>
          <w:rFonts w:ascii="Times New Roman" w:hAnsi="Times New Roman" w:cs="Times New Roman"/>
          <w:sz w:val="24"/>
          <w:szCs w:val="24"/>
        </w:rPr>
        <w:t>которых государственно</w:t>
      </w:r>
      <w:r w:rsidR="00290B1A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B072FB"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r w:rsidR="00290B1A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776FAD" w:rsidRDefault="00776FAD" w:rsidP="00630E2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Default="00290B1A" w:rsidP="001B2B8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96B">
        <w:rPr>
          <w:rFonts w:ascii="Times New Roman" w:hAnsi="Times New Roman" w:cs="Times New Roman"/>
          <w:b/>
          <w:bCs/>
          <w:sz w:val="24"/>
          <w:szCs w:val="24"/>
        </w:rPr>
        <w:t>Часть 3. Прочие сведения о государственном задании</w:t>
      </w:r>
    </w:p>
    <w:p w:rsidR="001B2B87" w:rsidRPr="00555030" w:rsidRDefault="001B2B87" w:rsidP="001B2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B1A" w:rsidRPr="005E6EBF" w:rsidRDefault="00290B1A" w:rsidP="005035F6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290B1A" w:rsidRPr="00E14397" w:rsidRDefault="00290B1A" w:rsidP="00E14397">
      <w:pPr>
        <w:ind w:left="360"/>
        <w:jc w:val="both"/>
      </w:pPr>
      <w:r w:rsidRPr="005E6EBF">
        <w:t xml:space="preserve">- иные основания, предусмотренные </w:t>
      </w:r>
      <w:r w:rsidR="00E14397">
        <w:t xml:space="preserve">нормативными правовыми актами. </w:t>
      </w:r>
    </w:p>
    <w:p w:rsidR="00290B1A" w:rsidRPr="00E14397" w:rsidRDefault="00290B1A" w:rsidP="00E14397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290B1A" w:rsidRDefault="00290B1A" w:rsidP="001B2B87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государственного задания</w:t>
      </w:r>
    </w:p>
    <w:p w:rsidR="001B2B87" w:rsidRPr="005E6EBF" w:rsidRDefault="001B2B87" w:rsidP="001B2B87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87"/>
        <w:gridCol w:w="5812"/>
      </w:tblGrid>
      <w:tr w:rsidR="00290B1A" w:rsidRPr="00555030" w:rsidTr="002D15DD">
        <w:trPr>
          <w:trHeight w:val="699"/>
        </w:trPr>
        <w:tc>
          <w:tcPr>
            <w:tcW w:w="4111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387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290B1A" w:rsidRPr="00555030" w:rsidTr="002D15DD">
        <w:tc>
          <w:tcPr>
            <w:tcW w:w="411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7C22B2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>
              <w:t>П</w:t>
            </w:r>
            <w:r w:rsidRPr="004C5935">
              <w:t xml:space="preserve">редварительный отчет </w:t>
            </w:r>
            <w:r>
              <w:t xml:space="preserve">в срок </w:t>
            </w:r>
            <w:r w:rsidRPr="004C5935">
              <w:t>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1B2B87" w:rsidRDefault="001B2B87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5E6EBF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ударственного задания. </w:t>
      </w:r>
    </w:p>
    <w:p w:rsidR="00290B1A" w:rsidRDefault="00290B1A" w:rsidP="00503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290B1A" w:rsidRPr="005E6EBF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290B1A" w:rsidRPr="00B67FA2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460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отчетов о выполнении государственного задания:</w:t>
      </w:r>
    </w:p>
    <w:p w:rsidR="00290B1A" w:rsidRPr="00B67FA2" w:rsidRDefault="00290B1A" w:rsidP="005035F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290B1A" w:rsidRPr="00B67FA2" w:rsidRDefault="00290B1A" w:rsidP="005035F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849" w:rsidRDefault="00F81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81849" w:rsidSect="00EE1290">
          <w:pgSz w:w="16839" w:h="11907" w:orient="landscape" w:code="9"/>
          <w:pgMar w:top="719" w:right="396" w:bottom="540" w:left="1134" w:header="0" w:footer="0" w:gutter="0"/>
          <w:cols w:space="720"/>
          <w:docGrid w:linePitch="326"/>
        </w:sectPr>
      </w:pPr>
    </w:p>
    <w:p w:rsidR="00F81849" w:rsidRPr="00740E88" w:rsidRDefault="00F81849" w:rsidP="00F81849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F81849" w:rsidRPr="00740E88" w:rsidRDefault="00776FAD" w:rsidP="00F81849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F81849" w:rsidRDefault="00F81849" w:rsidP="00F81849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F81849" w:rsidRDefault="00F81849" w:rsidP="00F81849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F81849" w:rsidRPr="00740E88" w:rsidRDefault="00F81849" w:rsidP="00F81849">
      <w:pPr>
        <w:jc w:val="both"/>
        <w:rPr>
          <w:rFonts w:eastAsia="Calibri"/>
          <w:sz w:val="26"/>
          <w:szCs w:val="26"/>
        </w:rPr>
      </w:pPr>
    </w:p>
    <w:p w:rsidR="00F81849" w:rsidRPr="00740E88" w:rsidRDefault="001B2B87" w:rsidP="00F81849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7818E5">
        <w:rPr>
          <w:rFonts w:eastAsia="Calibri"/>
          <w:sz w:val="26"/>
          <w:szCs w:val="26"/>
        </w:rPr>
        <w:t xml:space="preserve">т </w:t>
      </w:r>
      <w:r w:rsidR="00B072FB" w:rsidRPr="00BA52FD">
        <w:rPr>
          <w:rFonts w:eastAsia="Calibri"/>
          <w:sz w:val="26"/>
          <w:szCs w:val="26"/>
        </w:rPr>
        <w:t>______</w:t>
      </w:r>
      <w:r w:rsidR="00BA52FD">
        <w:rPr>
          <w:rFonts w:eastAsia="Calibri"/>
          <w:sz w:val="26"/>
          <w:szCs w:val="26"/>
        </w:rPr>
        <w:t>_____</w:t>
      </w:r>
      <w:r w:rsidR="00F81849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BA52FD">
        <w:rPr>
          <w:rFonts w:eastAsia="Calibri"/>
          <w:sz w:val="26"/>
          <w:szCs w:val="26"/>
        </w:rPr>
        <w:t xml:space="preserve">                       </w:t>
      </w:r>
      <w:r w:rsidR="00BA52FD">
        <w:rPr>
          <w:rFonts w:eastAsia="Calibri"/>
          <w:sz w:val="26"/>
          <w:szCs w:val="26"/>
        </w:rPr>
        <w:tab/>
      </w:r>
      <w:r w:rsidR="007818E5">
        <w:rPr>
          <w:rFonts w:eastAsia="Calibri"/>
          <w:sz w:val="26"/>
          <w:szCs w:val="26"/>
        </w:rPr>
        <w:t xml:space="preserve">№ </w:t>
      </w:r>
      <w:r w:rsidR="00B072FB" w:rsidRPr="00BA52FD">
        <w:rPr>
          <w:rFonts w:eastAsia="Calibri"/>
          <w:sz w:val="26"/>
          <w:szCs w:val="26"/>
        </w:rPr>
        <w:t>__</w:t>
      </w:r>
      <w:r w:rsidR="00BA52FD" w:rsidRPr="00BA52FD">
        <w:rPr>
          <w:rFonts w:eastAsia="Calibri"/>
          <w:sz w:val="26"/>
          <w:szCs w:val="26"/>
        </w:rPr>
        <w:t>__</w:t>
      </w:r>
      <w:r w:rsidR="00F81849" w:rsidRPr="00740E88">
        <w:rPr>
          <w:rFonts w:eastAsia="Calibri"/>
          <w:sz w:val="26"/>
          <w:szCs w:val="26"/>
        </w:rPr>
        <w:t xml:space="preserve"> </w:t>
      </w:r>
    </w:p>
    <w:p w:rsidR="00F81849" w:rsidRPr="00740E88" w:rsidRDefault="00F81849" w:rsidP="00F81849">
      <w:pPr>
        <w:jc w:val="both"/>
        <w:rPr>
          <w:rFonts w:eastAsia="Calibri"/>
          <w:sz w:val="26"/>
          <w:szCs w:val="26"/>
          <w:u w:val="single"/>
        </w:rPr>
      </w:pPr>
    </w:p>
    <w:p w:rsidR="00F81849" w:rsidRPr="00740E88" w:rsidRDefault="00F81849" w:rsidP="00F81849">
      <w:pPr>
        <w:jc w:val="both"/>
        <w:rPr>
          <w:rFonts w:eastAsia="Calibri"/>
          <w:sz w:val="26"/>
          <w:szCs w:val="26"/>
          <w:u w:val="single"/>
        </w:rPr>
      </w:pPr>
    </w:p>
    <w:p w:rsidR="00B70B11" w:rsidRPr="00CB6FFE" w:rsidRDefault="00B70B11" w:rsidP="00B70B11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B072FB">
        <w:rPr>
          <w:b/>
          <w:sz w:val="26"/>
          <w:szCs w:val="26"/>
        </w:rPr>
        <w:t>с</w:t>
      </w:r>
      <w:r w:rsidR="00991939">
        <w:rPr>
          <w:b/>
          <w:sz w:val="26"/>
          <w:szCs w:val="26"/>
        </w:rPr>
        <w:t>луг и 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«Орленок</w:t>
      </w:r>
      <w:r w:rsidRPr="00CB6FFE">
        <w:rPr>
          <w:b/>
          <w:sz w:val="26"/>
          <w:szCs w:val="26"/>
        </w:rPr>
        <w:t>»</w:t>
      </w:r>
      <w:r w:rsidR="00B072FB"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B70B11" w:rsidRPr="00CB6FFE" w:rsidRDefault="00B70B11" w:rsidP="00B70B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B11" w:rsidRPr="00C921E5" w:rsidRDefault="00B70B11" w:rsidP="00B70B1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 xml:space="preserve">» (в ред. постановлений Правительства Калужской области от 09.11.2016 № 594, </w:t>
      </w:r>
      <w:r>
        <w:t>от 13.10.2017 № 581</w:t>
      </w:r>
      <w:r>
        <w:rPr>
          <w:sz w:val="26"/>
          <w:szCs w:val="26"/>
        </w:rPr>
        <w:t xml:space="preserve">), </w:t>
      </w:r>
      <w:r w:rsidRPr="00594A2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1B2B87">
        <w:rPr>
          <w:sz w:val="26"/>
          <w:szCs w:val="26"/>
        </w:rPr>
        <w:t>приказом министерства спорта Калужской</w:t>
      </w:r>
      <w:proofErr w:type="gramEnd"/>
      <w:r w:rsidR="001B2B87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 xml:space="preserve">постановлением </w:t>
      </w:r>
      <w:r w:rsidR="005A7D01">
        <w:rPr>
          <w:bCs/>
          <w:sz w:val="26"/>
          <w:szCs w:val="26"/>
        </w:rPr>
        <w:t>Правительства</w:t>
      </w:r>
      <w:r w:rsidR="00B072FB">
        <w:rPr>
          <w:bCs/>
          <w:sz w:val="26"/>
          <w:szCs w:val="26"/>
        </w:rPr>
        <w:t xml:space="preserve"> Калужской области от 12</w:t>
      </w:r>
      <w:r w:rsidR="005A7D01">
        <w:rPr>
          <w:bCs/>
          <w:sz w:val="26"/>
          <w:szCs w:val="26"/>
        </w:rPr>
        <w:t>.07.2018 № 420</w:t>
      </w:r>
      <w:r w:rsidR="002D15D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B70B11" w:rsidRDefault="00B70B11" w:rsidP="00B70B11">
      <w:pPr>
        <w:numPr>
          <w:ilvl w:val="0"/>
          <w:numId w:val="19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B91614">
        <w:rPr>
          <w:sz w:val="26"/>
          <w:szCs w:val="26"/>
        </w:rPr>
        <w:t>слуг и выполнение работы на 2019</w:t>
      </w:r>
      <w:r>
        <w:rPr>
          <w:sz w:val="26"/>
          <w:szCs w:val="26"/>
        </w:rPr>
        <w:t xml:space="preserve"> год и на плановый п</w:t>
      </w:r>
      <w:r w:rsidR="00B91614">
        <w:rPr>
          <w:sz w:val="26"/>
          <w:szCs w:val="26"/>
        </w:rPr>
        <w:t>ериод 2020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«Орленок</w:t>
      </w:r>
      <w:r w:rsidRPr="00CB6FFE">
        <w:rPr>
          <w:sz w:val="26"/>
          <w:szCs w:val="26"/>
        </w:rPr>
        <w:t>» (прилагается).</w:t>
      </w:r>
    </w:p>
    <w:p w:rsidR="00BA52FD" w:rsidRPr="00CB6FFE" w:rsidRDefault="00BA52FD" w:rsidP="00BA52FD">
      <w:pPr>
        <w:ind w:firstLine="708"/>
        <w:jc w:val="both"/>
        <w:rPr>
          <w:sz w:val="26"/>
          <w:szCs w:val="26"/>
        </w:rPr>
      </w:pPr>
      <w:r w:rsidRPr="00BA52F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proofErr w:type="gramStart"/>
      <w:r w:rsidRPr="00BA52FD">
        <w:rPr>
          <w:sz w:val="26"/>
          <w:szCs w:val="26"/>
        </w:rPr>
        <w:t xml:space="preserve">Установить государственному 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«Орленок</w:t>
      </w:r>
      <w:r w:rsidRPr="00CB6FFE">
        <w:rPr>
          <w:sz w:val="26"/>
          <w:szCs w:val="26"/>
        </w:rPr>
        <w:t>»</w:t>
      </w:r>
      <w:r w:rsidRPr="00BA52FD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BA52FD">
        <w:rPr>
          <w:color w:val="1F497D"/>
          <w:sz w:val="26"/>
          <w:szCs w:val="26"/>
        </w:rPr>
        <w:t>,</w:t>
      </w:r>
      <w:r w:rsidRPr="00BA52FD">
        <w:rPr>
          <w:sz w:val="26"/>
          <w:szCs w:val="26"/>
        </w:rPr>
        <w:t xml:space="preserve"> в рамках государственных услуг (работ)  на период с 01 января по </w:t>
      </w:r>
      <w:r>
        <w:rPr>
          <w:sz w:val="26"/>
          <w:szCs w:val="26"/>
        </w:rPr>
        <w:t xml:space="preserve">31 декабря </w:t>
      </w:r>
      <w:r w:rsidR="00446B76">
        <w:rPr>
          <w:sz w:val="26"/>
          <w:szCs w:val="26"/>
        </w:rPr>
        <w:t xml:space="preserve">2019 года </w:t>
      </w:r>
      <w:r>
        <w:rPr>
          <w:sz w:val="26"/>
          <w:szCs w:val="26"/>
        </w:rPr>
        <w:t>7</w:t>
      </w:r>
      <w:r w:rsidRPr="00BA52FD">
        <w:rPr>
          <w:sz w:val="26"/>
          <w:szCs w:val="26"/>
        </w:rPr>
        <w:t>83 человека.</w:t>
      </w:r>
      <w:proofErr w:type="gramEnd"/>
    </w:p>
    <w:p w:rsidR="00B70B11" w:rsidRPr="003E6476" w:rsidRDefault="00BF26EC" w:rsidP="003E6476">
      <w:pPr>
        <w:tabs>
          <w:tab w:val="left" w:pos="1080"/>
          <w:tab w:val="left" w:pos="1134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E6476">
        <w:rPr>
          <w:sz w:val="26"/>
          <w:szCs w:val="26"/>
        </w:rPr>
        <w:t>3.</w:t>
      </w:r>
      <w:r w:rsidR="00B70B11" w:rsidRPr="003E6476">
        <w:rPr>
          <w:sz w:val="26"/>
          <w:szCs w:val="26"/>
        </w:rPr>
        <w:t xml:space="preserve"> </w:t>
      </w:r>
      <w:r w:rsidR="00DC27A1" w:rsidRPr="003E6476">
        <w:rPr>
          <w:spacing w:val="1"/>
          <w:sz w:val="26"/>
          <w:szCs w:val="26"/>
        </w:rPr>
        <w:t xml:space="preserve">Отделу экономики </w:t>
      </w:r>
      <w:r w:rsidR="00DC27A1" w:rsidRPr="003E6476">
        <w:rPr>
          <w:sz w:val="26"/>
          <w:szCs w:val="26"/>
        </w:rPr>
        <w:t xml:space="preserve">и финансового контроля </w:t>
      </w:r>
      <w:r w:rsidR="00B70B11" w:rsidRPr="003E6476">
        <w:rPr>
          <w:sz w:val="26"/>
          <w:szCs w:val="26"/>
        </w:rPr>
        <w:t>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B70B11" w:rsidRPr="00BA52FD" w:rsidRDefault="00B70B11" w:rsidP="00BA52FD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bookmarkStart w:id="3" w:name="_GoBack"/>
      <w:bookmarkEnd w:id="3"/>
      <w:r w:rsidRPr="00BA52FD">
        <w:rPr>
          <w:sz w:val="26"/>
          <w:szCs w:val="26"/>
        </w:rPr>
        <w:t>Государственному автономному учреждению Калужской области «</w:t>
      </w:r>
      <w:proofErr w:type="gramStart"/>
      <w:r w:rsidRPr="00BA52FD">
        <w:rPr>
          <w:sz w:val="26"/>
          <w:szCs w:val="26"/>
        </w:rPr>
        <w:t>Спортивная</w:t>
      </w:r>
      <w:proofErr w:type="gramEnd"/>
      <w:r w:rsidRPr="00BA52FD">
        <w:rPr>
          <w:sz w:val="26"/>
          <w:szCs w:val="26"/>
        </w:rPr>
        <w:t xml:space="preserve"> школа олимпийского резерва «Орленок» в срок до 15 января очередного финансового года представлять в</w:t>
      </w:r>
      <w:r w:rsidR="00DC27A1" w:rsidRPr="00BA52FD">
        <w:rPr>
          <w:sz w:val="26"/>
          <w:szCs w:val="26"/>
        </w:rPr>
        <w:t xml:space="preserve">  о</w:t>
      </w:r>
      <w:r w:rsidR="00DC27A1" w:rsidRPr="00BA52FD">
        <w:rPr>
          <w:spacing w:val="1"/>
          <w:sz w:val="26"/>
          <w:szCs w:val="26"/>
        </w:rPr>
        <w:t xml:space="preserve">тдел экономики </w:t>
      </w:r>
      <w:r w:rsidR="00DC27A1" w:rsidRPr="00BA52FD">
        <w:rPr>
          <w:sz w:val="26"/>
          <w:szCs w:val="26"/>
        </w:rPr>
        <w:t>и финансового контроля</w:t>
      </w:r>
      <w:r w:rsidRPr="00BA52FD">
        <w:rPr>
          <w:sz w:val="26"/>
          <w:szCs w:val="26"/>
        </w:rPr>
        <w:t xml:space="preserve"> и в отдел по работе с </w:t>
      </w:r>
      <w:r w:rsidRPr="00BA52FD">
        <w:rPr>
          <w:sz w:val="26"/>
          <w:szCs w:val="26"/>
        </w:rPr>
        <w:lastRenderedPageBreak/>
        <w:t>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B70B11" w:rsidRPr="00594A24" w:rsidRDefault="00B70B11" w:rsidP="00BA52FD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0B6700"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B70B11" w:rsidRPr="000D1B4A" w:rsidRDefault="00B70B11" w:rsidP="00BA52FD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Контроль за исполнением настоящего приказа возложить на </w:t>
      </w:r>
      <w:r w:rsidR="003E6476">
        <w:rPr>
          <w:sz w:val="26"/>
          <w:szCs w:val="26"/>
        </w:rPr>
        <w:t>заместителя министра – начальника управления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3E6476">
        <w:rPr>
          <w:sz w:val="26"/>
          <w:szCs w:val="26"/>
        </w:rPr>
        <w:t xml:space="preserve"> О.А. Силаеву и</w:t>
      </w:r>
      <w:r w:rsidRPr="000D1B4A">
        <w:rPr>
          <w:sz w:val="26"/>
          <w:szCs w:val="26"/>
        </w:rPr>
        <w:t xml:space="preserve"> </w:t>
      </w:r>
      <w:r w:rsidR="003E6476">
        <w:rPr>
          <w:sz w:val="26"/>
          <w:szCs w:val="26"/>
        </w:rPr>
        <w:t xml:space="preserve">начальника </w:t>
      </w:r>
      <w:r w:rsidRPr="000D1B4A">
        <w:rPr>
          <w:sz w:val="26"/>
          <w:szCs w:val="26"/>
        </w:rPr>
        <w:t>отдел</w:t>
      </w:r>
      <w:r w:rsidR="003E6476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0B6700">
        <w:rPr>
          <w:spacing w:val="1"/>
          <w:sz w:val="26"/>
          <w:szCs w:val="26"/>
        </w:rPr>
        <w:t xml:space="preserve">экономики </w:t>
      </w:r>
      <w:r w:rsidR="000B6700" w:rsidRPr="0032162D">
        <w:rPr>
          <w:sz w:val="26"/>
          <w:szCs w:val="26"/>
        </w:rPr>
        <w:t xml:space="preserve">и </w:t>
      </w:r>
      <w:r w:rsidR="000B6700">
        <w:rPr>
          <w:sz w:val="26"/>
          <w:szCs w:val="26"/>
        </w:rPr>
        <w:t>финансового контроля</w:t>
      </w:r>
      <w:r w:rsidR="003E6476">
        <w:rPr>
          <w:sz w:val="26"/>
          <w:szCs w:val="26"/>
        </w:rPr>
        <w:t xml:space="preserve"> О.Н. Прокошину</w:t>
      </w:r>
      <w:r w:rsidRPr="000D1B4A">
        <w:rPr>
          <w:sz w:val="26"/>
          <w:szCs w:val="26"/>
        </w:rPr>
        <w:t>.</w:t>
      </w:r>
    </w:p>
    <w:p w:rsidR="00B70B11" w:rsidRPr="00594A24" w:rsidRDefault="00B70B11" w:rsidP="00BA52FD">
      <w:pPr>
        <w:numPr>
          <w:ilvl w:val="0"/>
          <w:numId w:val="2"/>
        </w:numPr>
        <w:tabs>
          <w:tab w:val="num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>При</w:t>
      </w:r>
      <w:r w:rsidR="000B6700">
        <w:rPr>
          <w:sz w:val="26"/>
          <w:szCs w:val="26"/>
        </w:rPr>
        <w:t>каз вступает в силу с 01</w:t>
      </w:r>
      <w:r w:rsidR="00BA52FD">
        <w:rPr>
          <w:sz w:val="26"/>
          <w:szCs w:val="26"/>
        </w:rPr>
        <w:t xml:space="preserve"> </w:t>
      </w:r>
      <w:r w:rsidR="001B2B87">
        <w:rPr>
          <w:sz w:val="26"/>
          <w:szCs w:val="26"/>
        </w:rPr>
        <w:t>января</w:t>
      </w:r>
      <w:r w:rsidR="00BA52FD">
        <w:rPr>
          <w:sz w:val="26"/>
          <w:szCs w:val="26"/>
        </w:rPr>
        <w:t xml:space="preserve"> </w:t>
      </w:r>
      <w:r w:rsidR="000B6700">
        <w:rPr>
          <w:sz w:val="26"/>
          <w:szCs w:val="26"/>
        </w:rPr>
        <w:t>2019</w:t>
      </w:r>
      <w:r w:rsidRPr="000D1B4A">
        <w:rPr>
          <w:sz w:val="26"/>
          <w:szCs w:val="26"/>
        </w:rPr>
        <w:t xml:space="preserve"> года.</w:t>
      </w:r>
    </w:p>
    <w:p w:rsidR="00B70B11" w:rsidRDefault="00B70B11" w:rsidP="00B70B11">
      <w:pPr>
        <w:jc w:val="both"/>
        <w:rPr>
          <w:b/>
          <w:sz w:val="26"/>
          <w:szCs w:val="26"/>
        </w:rPr>
      </w:pPr>
    </w:p>
    <w:p w:rsidR="00B70B11" w:rsidRDefault="00B70B11" w:rsidP="00B70B11">
      <w:pPr>
        <w:jc w:val="both"/>
        <w:rPr>
          <w:b/>
          <w:sz w:val="26"/>
          <w:szCs w:val="26"/>
        </w:rPr>
      </w:pPr>
    </w:p>
    <w:p w:rsidR="00B70B11" w:rsidRPr="000F7616" w:rsidRDefault="00B70B11" w:rsidP="00B70B11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А.Ю. Логинов</w:t>
      </w:r>
    </w:p>
    <w:p w:rsidR="00C75CD1" w:rsidRDefault="00C75CD1" w:rsidP="00F81849">
      <w:pPr>
        <w:rPr>
          <w:sz w:val="26"/>
          <w:szCs w:val="26"/>
        </w:rPr>
      </w:pPr>
    </w:p>
    <w:p w:rsidR="00C75CD1" w:rsidRDefault="00C75CD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0B6700" w:rsidRDefault="000B6700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F81849" w:rsidRPr="004979C2" w:rsidRDefault="00F81849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B70B11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B70B11" w:rsidRDefault="00B70B11" w:rsidP="00B70B11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81849" w:rsidRPr="004979C2" w:rsidRDefault="00F81849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</w:p>
    <w:p w:rsidR="00291632" w:rsidRPr="0042009D" w:rsidRDefault="00291632" w:rsidP="00291632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Начальник отдела по работе с учреждениями </w:t>
      </w:r>
    </w:p>
    <w:p w:rsidR="00291632" w:rsidRPr="004979C2" w:rsidRDefault="00291632" w:rsidP="00291632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направленности</w:t>
      </w:r>
      <w:r w:rsidRPr="0042009D">
        <w:rPr>
          <w:sz w:val="26"/>
          <w:szCs w:val="26"/>
        </w:rPr>
        <w:tab/>
        <w:t xml:space="preserve">              </w:t>
      </w:r>
      <w:r w:rsidR="000B6700">
        <w:rPr>
          <w:sz w:val="26"/>
          <w:szCs w:val="26"/>
        </w:rPr>
        <w:t xml:space="preserve">                                                         </w:t>
      </w:r>
      <w:r w:rsidRPr="0042009D">
        <w:rPr>
          <w:sz w:val="26"/>
          <w:szCs w:val="26"/>
        </w:rPr>
        <w:t xml:space="preserve"> М.А. Боденкова</w:t>
      </w:r>
    </w:p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340D75" w:rsidRDefault="00340D75" w:rsidP="00F81849"/>
    <w:p w:rsidR="00340D75" w:rsidRDefault="00340D75" w:rsidP="00F81849"/>
    <w:p w:rsidR="00291632" w:rsidRDefault="00291632" w:rsidP="00F81849"/>
    <w:p w:rsidR="00F81849" w:rsidRPr="004979C2" w:rsidRDefault="00F81849" w:rsidP="00F81849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F81849" w:rsidRPr="00B250F8" w:rsidRDefault="00F81849" w:rsidP="00F81849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555030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555030" w:rsidRDefault="00290B1A"/>
    <w:sectPr w:rsidR="00290B1A" w:rsidRPr="00555030" w:rsidSect="003E6476">
      <w:pgSz w:w="11905" w:h="16838"/>
      <w:pgMar w:top="709" w:right="565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A96"/>
    <w:multiLevelType w:val="hybridMultilevel"/>
    <w:tmpl w:val="1354F508"/>
    <w:lvl w:ilvl="0" w:tplc="DA42B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FDC"/>
    <w:multiLevelType w:val="hybridMultilevel"/>
    <w:tmpl w:val="992EFAD8"/>
    <w:lvl w:ilvl="0" w:tplc="979A9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856CED16"/>
    <w:lvl w:ilvl="0" w:tplc="24C29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445D8"/>
    <w:multiLevelType w:val="hybridMultilevel"/>
    <w:tmpl w:val="D2AEE8C4"/>
    <w:lvl w:ilvl="0" w:tplc="513A6C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FCC"/>
    <w:multiLevelType w:val="hybridMultilevel"/>
    <w:tmpl w:val="78F4CE8C"/>
    <w:lvl w:ilvl="0" w:tplc="8990F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4FB0"/>
    <w:multiLevelType w:val="hybridMultilevel"/>
    <w:tmpl w:val="CB006F5C"/>
    <w:lvl w:ilvl="0" w:tplc="BEC6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8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15263"/>
    <w:rsid w:val="00017B98"/>
    <w:rsid w:val="00024B81"/>
    <w:rsid w:val="00032C82"/>
    <w:rsid w:val="00046298"/>
    <w:rsid w:val="00054B88"/>
    <w:rsid w:val="0007014D"/>
    <w:rsid w:val="00080DCE"/>
    <w:rsid w:val="000A3FF1"/>
    <w:rsid w:val="000B6700"/>
    <w:rsid w:val="000B6780"/>
    <w:rsid w:val="000D02EF"/>
    <w:rsid w:val="000D7BC2"/>
    <w:rsid w:val="000F52F8"/>
    <w:rsid w:val="00107F62"/>
    <w:rsid w:val="00132C98"/>
    <w:rsid w:val="001418A2"/>
    <w:rsid w:val="00144C93"/>
    <w:rsid w:val="00191BAC"/>
    <w:rsid w:val="00192C8B"/>
    <w:rsid w:val="001946BC"/>
    <w:rsid w:val="001A17F1"/>
    <w:rsid w:val="001B2B87"/>
    <w:rsid w:val="001B6CA9"/>
    <w:rsid w:val="001F34D1"/>
    <w:rsid w:val="0020687D"/>
    <w:rsid w:val="00217002"/>
    <w:rsid w:val="00224867"/>
    <w:rsid w:val="00250F23"/>
    <w:rsid w:val="0025569E"/>
    <w:rsid w:val="002654D9"/>
    <w:rsid w:val="00272749"/>
    <w:rsid w:val="00274E98"/>
    <w:rsid w:val="002900D9"/>
    <w:rsid w:val="00290B1A"/>
    <w:rsid w:val="00291632"/>
    <w:rsid w:val="002A06BA"/>
    <w:rsid w:val="002A1FCB"/>
    <w:rsid w:val="002A587F"/>
    <w:rsid w:val="002A588C"/>
    <w:rsid w:val="002D15DD"/>
    <w:rsid w:val="002D55C1"/>
    <w:rsid w:val="002F07EB"/>
    <w:rsid w:val="00313076"/>
    <w:rsid w:val="003170FF"/>
    <w:rsid w:val="00317616"/>
    <w:rsid w:val="00331613"/>
    <w:rsid w:val="00340D75"/>
    <w:rsid w:val="00343186"/>
    <w:rsid w:val="00350B20"/>
    <w:rsid w:val="00361873"/>
    <w:rsid w:val="0039023B"/>
    <w:rsid w:val="00397562"/>
    <w:rsid w:val="003B6A28"/>
    <w:rsid w:val="003E6476"/>
    <w:rsid w:val="003F6085"/>
    <w:rsid w:val="00403A47"/>
    <w:rsid w:val="00405EA0"/>
    <w:rsid w:val="00422B85"/>
    <w:rsid w:val="00425DA4"/>
    <w:rsid w:val="00443460"/>
    <w:rsid w:val="00446B76"/>
    <w:rsid w:val="00465860"/>
    <w:rsid w:val="004715AE"/>
    <w:rsid w:val="004716AB"/>
    <w:rsid w:val="00491FAD"/>
    <w:rsid w:val="004979C2"/>
    <w:rsid w:val="004A43A8"/>
    <w:rsid w:val="004B7BDE"/>
    <w:rsid w:val="004C05D7"/>
    <w:rsid w:val="004C5935"/>
    <w:rsid w:val="004C7564"/>
    <w:rsid w:val="004D3547"/>
    <w:rsid w:val="005035F6"/>
    <w:rsid w:val="00527FF6"/>
    <w:rsid w:val="00531346"/>
    <w:rsid w:val="00553A36"/>
    <w:rsid w:val="00555030"/>
    <w:rsid w:val="00557AE0"/>
    <w:rsid w:val="005675DE"/>
    <w:rsid w:val="00572AAD"/>
    <w:rsid w:val="00575092"/>
    <w:rsid w:val="00597B6E"/>
    <w:rsid w:val="005A7D01"/>
    <w:rsid w:val="005B194C"/>
    <w:rsid w:val="005D76A3"/>
    <w:rsid w:val="005E2FC3"/>
    <w:rsid w:val="005E6EBF"/>
    <w:rsid w:val="005E7E98"/>
    <w:rsid w:val="005F0601"/>
    <w:rsid w:val="005F5EFF"/>
    <w:rsid w:val="00602DCE"/>
    <w:rsid w:val="00630E2A"/>
    <w:rsid w:val="006350F8"/>
    <w:rsid w:val="0064145C"/>
    <w:rsid w:val="00666018"/>
    <w:rsid w:val="00667F72"/>
    <w:rsid w:val="006B07DD"/>
    <w:rsid w:val="006D0841"/>
    <w:rsid w:val="006D5AB1"/>
    <w:rsid w:val="006F04BB"/>
    <w:rsid w:val="007176CF"/>
    <w:rsid w:val="00720FA6"/>
    <w:rsid w:val="007670D0"/>
    <w:rsid w:val="00772B9D"/>
    <w:rsid w:val="00776FAD"/>
    <w:rsid w:val="007818E5"/>
    <w:rsid w:val="007A3771"/>
    <w:rsid w:val="007A51E6"/>
    <w:rsid w:val="007B3884"/>
    <w:rsid w:val="007C22B2"/>
    <w:rsid w:val="007C2574"/>
    <w:rsid w:val="007C5D42"/>
    <w:rsid w:val="007E7878"/>
    <w:rsid w:val="007E7FC5"/>
    <w:rsid w:val="007F75E1"/>
    <w:rsid w:val="00844E71"/>
    <w:rsid w:val="00852694"/>
    <w:rsid w:val="00860875"/>
    <w:rsid w:val="00871FE5"/>
    <w:rsid w:val="00876104"/>
    <w:rsid w:val="00894AC1"/>
    <w:rsid w:val="008C18C5"/>
    <w:rsid w:val="008C303A"/>
    <w:rsid w:val="008D026C"/>
    <w:rsid w:val="00904EF1"/>
    <w:rsid w:val="009051F9"/>
    <w:rsid w:val="009419A1"/>
    <w:rsid w:val="00945D51"/>
    <w:rsid w:val="0096183B"/>
    <w:rsid w:val="00962461"/>
    <w:rsid w:val="00967721"/>
    <w:rsid w:val="0098234D"/>
    <w:rsid w:val="00991939"/>
    <w:rsid w:val="009B1662"/>
    <w:rsid w:val="009B277C"/>
    <w:rsid w:val="009C7A3C"/>
    <w:rsid w:val="009F13EA"/>
    <w:rsid w:val="009F4396"/>
    <w:rsid w:val="00A16BE3"/>
    <w:rsid w:val="00A5522F"/>
    <w:rsid w:val="00A6135E"/>
    <w:rsid w:val="00A872E1"/>
    <w:rsid w:val="00AA6948"/>
    <w:rsid w:val="00AB136E"/>
    <w:rsid w:val="00AC73BB"/>
    <w:rsid w:val="00AD3E60"/>
    <w:rsid w:val="00AD482B"/>
    <w:rsid w:val="00AD5A62"/>
    <w:rsid w:val="00B072FB"/>
    <w:rsid w:val="00B10DA4"/>
    <w:rsid w:val="00B25359"/>
    <w:rsid w:val="00B350AF"/>
    <w:rsid w:val="00B35157"/>
    <w:rsid w:val="00B67FA2"/>
    <w:rsid w:val="00B70B11"/>
    <w:rsid w:val="00B746E4"/>
    <w:rsid w:val="00B91614"/>
    <w:rsid w:val="00BA52FD"/>
    <w:rsid w:val="00BD4B6C"/>
    <w:rsid w:val="00BD7CE9"/>
    <w:rsid w:val="00BF26EC"/>
    <w:rsid w:val="00C337CC"/>
    <w:rsid w:val="00C417E3"/>
    <w:rsid w:val="00C47AF6"/>
    <w:rsid w:val="00C5396B"/>
    <w:rsid w:val="00C56A6A"/>
    <w:rsid w:val="00C56BAB"/>
    <w:rsid w:val="00C60AFC"/>
    <w:rsid w:val="00C71323"/>
    <w:rsid w:val="00C75CD1"/>
    <w:rsid w:val="00C97686"/>
    <w:rsid w:val="00C97EEB"/>
    <w:rsid w:val="00CA3130"/>
    <w:rsid w:val="00CB7118"/>
    <w:rsid w:val="00CB7795"/>
    <w:rsid w:val="00CD55BD"/>
    <w:rsid w:val="00CE2F6E"/>
    <w:rsid w:val="00CE4594"/>
    <w:rsid w:val="00D110D0"/>
    <w:rsid w:val="00D4254B"/>
    <w:rsid w:val="00D6690E"/>
    <w:rsid w:val="00D66DF1"/>
    <w:rsid w:val="00D67C8E"/>
    <w:rsid w:val="00D773EB"/>
    <w:rsid w:val="00DA24F3"/>
    <w:rsid w:val="00DC27A1"/>
    <w:rsid w:val="00DD05C0"/>
    <w:rsid w:val="00DE439F"/>
    <w:rsid w:val="00DF78A4"/>
    <w:rsid w:val="00E14397"/>
    <w:rsid w:val="00E16818"/>
    <w:rsid w:val="00E67530"/>
    <w:rsid w:val="00E87457"/>
    <w:rsid w:val="00EA144A"/>
    <w:rsid w:val="00EA7571"/>
    <w:rsid w:val="00EA7E8F"/>
    <w:rsid w:val="00EB4727"/>
    <w:rsid w:val="00EB5BCE"/>
    <w:rsid w:val="00EC3753"/>
    <w:rsid w:val="00ED3EAE"/>
    <w:rsid w:val="00ED5860"/>
    <w:rsid w:val="00EE1290"/>
    <w:rsid w:val="00EE2866"/>
    <w:rsid w:val="00EE305E"/>
    <w:rsid w:val="00EE39CD"/>
    <w:rsid w:val="00F06F49"/>
    <w:rsid w:val="00F1251B"/>
    <w:rsid w:val="00F2207B"/>
    <w:rsid w:val="00F2410D"/>
    <w:rsid w:val="00F277FC"/>
    <w:rsid w:val="00F514C1"/>
    <w:rsid w:val="00F72541"/>
    <w:rsid w:val="00F74348"/>
    <w:rsid w:val="00F81849"/>
    <w:rsid w:val="00F8349C"/>
    <w:rsid w:val="00F83629"/>
    <w:rsid w:val="00F87A62"/>
    <w:rsid w:val="00FC2492"/>
    <w:rsid w:val="00FD1D61"/>
    <w:rsid w:val="00FE405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16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316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C5D42"/>
    <w:rPr>
      <w:color w:val="auto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99"/>
    <w:qFormat/>
    <w:rsid w:val="00666018"/>
    <w:pPr>
      <w:ind w:left="720"/>
    </w:pPr>
  </w:style>
  <w:style w:type="table" w:styleId="a5">
    <w:name w:val="Table Grid"/>
    <w:basedOn w:val="a1"/>
    <w:uiPriority w:val="99"/>
    <w:rsid w:val="005E7E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27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E4594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4D35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16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316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C5D42"/>
    <w:rPr>
      <w:color w:val="auto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99"/>
    <w:qFormat/>
    <w:rsid w:val="00666018"/>
    <w:pPr>
      <w:ind w:left="720"/>
    </w:pPr>
  </w:style>
  <w:style w:type="table" w:styleId="a5">
    <w:name w:val="Table Grid"/>
    <w:basedOn w:val="a1"/>
    <w:uiPriority w:val="99"/>
    <w:rsid w:val="005E7E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27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E4594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4D35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001C-0E8C-4932-B30D-FA147C43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21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16</cp:revision>
  <cp:lastPrinted>2018-12-17T09:02:00Z</cp:lastPrinted>
  <dcterms:created xsi:type="dcterms:W3CDTF">2018-08-15T06:10:00Z</dcterms:created>
  <dcterms:modified xsi:type="dcterms:W3CDTF">2018-12-17T09:04:00Z</dcterms:modified>
</cp:coreProperties>
</file>