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88" w:rsidRPr="008275E9" w:rsidRDefault="00655088" w:rsidP="0065508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</w:p>
    <w:p w:rsidR="00FD0057" w:rsidRPr="00735187" w:rsidRDefault="00FD0057" w:rsidP="00735187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044878" w:rsidRPr="0073518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-м квартале 201</w:t>
      </w:r>
      <w:r w:rsidR="00044878" w:rsidRPr="0073518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  <w:r w:rsidRPr="00735187">
        <w:rPr>
          <w:rFonts w:ascii="Times New Roman" w:eastAsia="Times New Roman" w:hAnsi="Times New Roman"/>
          <w:sz w:val="26"/>
          <w:szCs w:val="26"/>
          <w:lang w:bidi="en-US"/>
        </w:rPr>
        <w:t xml:space="preserve">в министерство конкурентной политики поступило </w:t>
      </w:r>
      <w:r w:rsidR="00575C94" w:rsidRPr="00735187">
        <w:rPr>
          <w:rFonts w:ascii="Times New Roman" w:eastAsia="Times New Roman" w:hAnsi="Times New Roman"/>
          <w:sz w:val="26"/>
          <w:szCs w:val="26"/>
          <w:lang w:bidi="en-US"/>
        </w:rPr>
        <w:t>61</w:t>
      </w:r>
      <w:r w:rsidR="00444F59" w:rsidRPr="00735187">
        <w:rPr>
          <w:rFonts w:ascii="Times New Roman" w:eastAsia="Times New Roman" w:hAnsi="Times New Roman"/>
          <w:sz w:val="26"/>
          <w:szCs w:val="26"/>
          <w:lang w:bidi="en-US"/>
        </w:rPr>
        <w:t xml:space="preserve"> обращения </w:t>
      </w:r>
      <w:r w:rsidRPr="00735187">
        <w:rPr>
          <w:rFonts w:ascii="Times New Roman" w:eastAsia="Times New Roman" w:hAnsi="Times New Roman"/>
          <w:sz w:val="26"/>
          <w:szCs w:val="26"/>
          <w:lang w:bidi="en-US"/>
        </w:rPr>
        <w:t>граждан по темам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760B96" w:rsidRPr="00735187" w:rsidRDefault="00CE3095" w:rsidP="0073518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тарифы и льготы по оплате </w:t>
      </w:r>
      <w:r w:rsidR="00AB048B" w:rsidRPr="00735187">
        <w:rPr>
          <w:rFonts w:ascii="Times New Roman" w:eastAsia="Times New Roman" w:hAnsi="Times New Roman"/>
          <w:sz w:val="26"/>
          <w:szCs w:val="26"/>
          <w:lang w:eastAsia="ru-RU"/>
        </w:rPr>
        <w:t>жил</w:t>
      </w:r>
      <w:r w:rsidR="00444F59" w:rsidRPr="00735187">
        <w:rPr>
          <w:rFonts w:ascii="Times New Roman" w:eastAsia="Times New Roman" w:hAnsi="Times New Roman"/>
          <w:sz w:val="26"/>
          <w:szCs w:val="26"/>
          <w:lang w:eastAsia="ru-RU"/>
        </w:rPr>
        <w:t>ищно-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коммунальных услуг и электроэнергии </w:t>
      </w:r>
      <w:r w:rsidR="00760B96" w:rsidRPr="00735187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CE017D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4878" w:rsidRPr="00735187">
        <w:rPr>
          <w:rFonts w:ascii="Times New Roman" w:eastAsia="Times New Roman" w:hAnsi="Times New Roman"/>
          <w:sz w:val="26"/>
          <w:szCs w:val="26"/>
          <w:lang w:eastAsia="ru-RU"/>
        </w:rPr>
        <w:t>95</w:t>
      </w:r>
    </w:p>
    <w:p w:rsidR="00CE3095" w:rsidRPr="00735187" w:rsidRDefault="00CE3095" w:rsidP="0073518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торговля и органы местного самоуправлени</w:t>
      </w:r>
      <w:r w:rsidR="00CE017D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я. Размещение торговых точек – </w:t>
      </w:r>
      <w:r w:rsidR="00A907DF" w:rsidRPr="0073518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44878" w:rsidRPr="00735187">
        <w:rPr>
          <w:rFonts w:ascii="Times New Roman" w:eastAsia="Times New Roman" w:hAnsi="Times New Roman"/>
          <w:sz w:val="26"/>
          <w:szCs w:val="26"/>
          <w:lang w:eastAsia="ru-RU"/>
        </w:rPr>
        <w:t>0</w:t>
      </w:r>
    </w:p>
    <w:p w:rsidR="00AB048B" w:rsidRPr="00735187" w:rsidRDefault="00A907DF" w:rsidP="0073518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лицензирование в сфере оборота алкогольной  и спиртосодержащей продукции</w:t>
      </w:r>
      <w:r w:rsidR="00AB048B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34F1" w:rsidRPr="00735187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AB048B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4878" w:rsidRPr="00735187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444F59" w:rsidRPr="00735187" w:rsidRDefault="00CE3095" w:rsidP="0073518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тарифы, сборы и льготы на транспортные услуги – </w:t>
      </w:r>
      <w:r w:rsidR="00760B96" w:rsidRPr="00735187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BE457B" w:rsidRPr="00735187" w:rsidRDefault="00F84140" w:rsidP="0073518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разное</w:t>
      </w:r>
      <w:r w:rsidR="00CE017D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044878" w:rsidRPr="00735187">
        <w:rPr>
          <w:rFonts w:ascii="Times New Roman" w:eastAsia="Times New Roman" w:hAnsi="Times New Roman"/>
          <w:sz w:val="26"/>
          <w:szCs w:val="26"/>
          <w:lang w:eastAsia="ru-RU"/>
        </w:rPr>
        <w:t>19</w:t>
      </w:r>
    </w:p>
    <w:p w:rsidR="00444F59" w:rsidRPr="00735187" w:rsidRDefault="00444F59" w:rsidP="0073518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ab/>
        <w:t>Обращения поступали:</w:t>
      </w:r>
    </w:p>
    <w:p w:rsidR="00444F59" w:rsidRPr="00735187" w:rsidRDefault="00044878" w:rsidP="0073518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 w:rsidR="00444F59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– Администраци</w:t>
      </w:r>
      <w:r w:rsidR="00AD7942" w:rsidRPr="007351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44F59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Губернатора Калужской области;</w:t>
      </w:r>
    </w:p>
    <w:p w:rsidR="00444F59" w:rsidRPr="00735187" w:rsidRDefault="00044878" w:rsidP="0073518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907DF" w:rsidRPr="0073518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44F59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– из Прокуратуры области;</w:t>
      </w:r>
    </w:p>
    <w:p w:rsidR="001C1966" w:rsidRPr="00735187" w:rsidRDefault="00A830B9" w:rsidP="00735187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44878" w:rsidRPr="0073518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1966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от граждан.</w:t>
      </w:r>
    </w:p>
    <w:p w:rsidR="001C1966" w:rsidRPr="00735187" w:rsidRDefault="001C1966" w:rsidP="00735187">
      <w:pPr>
        <w:spacing w:line="276" w:lineRule="auto"/>
        <w:ind w:left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В электронном виде в адрес министерства поступило </w:t>
      </w:r>
      <w:r w:rsidR="00FD45F8" w:rsidRPr="00735187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обращений.</w:t>
      </w:r>
    </w:p>
    <w:p w:rsidR="008A1A0A" w:rsidRPr="00735187" w:rsidRDefault="001C1966" w:rsidP="00735187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Продолжают поступать  повторные обращения (</w:t>
      </w:r>
      <w:r w:rsidR="00A830B9" w:rsidRPr="0073518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D45F8" w:rsidRPr="0073518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обращений). Это связано с тем, что  граждане обращаются сразу в несколько органов исполнительной власти. </w:t>
      </w:r>
      <w:r w:rsidR="008A1A0A" w:rsidRPr="00735187">
        <w:rPr>
          <w:rFonts w:ascii="Times New Roman" w:eastAsia="Times New Roman" w:hAnsi="Times New Roman"/>
          <w:sz w:val="26"/>
          <w:szCs w:val="26"/>
          <w:lang w:eastAsia="ru-RU"/>
        </w:rPr>
        <w:t>В министерстве конкурентной политики Калужской области (далее - министерство) ведется учет обращений граждан, организовано своевременное рассмотрение в управлениях.</w:t>
      </w:r>
    </w:p>
    <w:p w:rsidR="00813E61" w:rsidRPr="00735187" w:rsidRDefault="00223EB3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color w:val="0A0808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поступившие в министерство обращения граждан были рассмотрены. </w:t>
      </w:r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 xml:space="preserve">При рассмотрении письменных обращений граждан неукоснительно соблюдались сроки, установленные Федеральным законом от 02.05.2006 № 59-ФЗ «О порядке рассмотрения обращений граждан Российской Федерации», а также </w:t>
      </w:r>
      <w:r w:rsidR="000974C1"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и</w:t>
      </w:r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 xml:space="preserve">нструкцией по делопроизводству министерства. </w:t>
      </w:r>
      <w:r w:rsidR="001C1966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На вопросы, поднятые </w:t>
      </w:r>
      <w:r w:rsidR="00655088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и находящиеся в </w:t>
      </w:r>
      <w:proofErr w:type="gramStart"/>
      <w:r w:rsidR="00655088" w:rsidRPr="00735187">
        <w:rPr>
          <w:rFonts w:ascii="Times New Roman" w:eastAsia="Times New Roman" w:hAnsi="Times New Roman"/>
          <w:sz w:val="26"/>
          <w:szCs w:val="26"/>
          <w:lang w:eastAsia="ru-RU"/>
        </w:rPr>
        <w:t>рамках</w:t>
      </w:r>
      <w:proofErr w:type="gramEnd"/>
      <w:r w:rsidR="00655088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компетенции министерства, были даны исчерпывающие ответы. </w:t>
      </w:r>
      <w:r w:rsidR="00813E61"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Внимание уделялось также устным обращениям граждан. В случае устного обращения граждан  проводилась разъяснительная работа, давались подробные ответы с обязательными ссылками на действующее федеральное и региональное законодательство.</w:t>
      </w:r>
    </w:p>
    <w:p w:rsidR="00D25A37" w:rsidRPr="00735187" w:rsidRDefault="00D25A37" w:rsidP="00735187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Информация о деятельности министерства постоянно актуализируется на  официальном сайте  министерства, на портале органов власти Калужской области.</w:t>
      </w:r>
    </w:p>
    <w:p w:rsidR="00D25A37" w:rsidRPr="00735187" w:rsidRDefault="00D25A37" w:rsidP="00735187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 </w:t>
      </w:r>
      <w:r w:rsidR="00CE3095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министром конкурентной политики Калужской области 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личный прием граждан, утвержденный распоряжением Губернатора Калужской области. </w:t>
      </w:r>
    </w:p>
    <w:p w:rsidR="00813E61" w:rsidRPr="00735187" w:rsidRDefault="00A15EC2" w:rsidP="00735187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темами обращений </w:t>
      </w:r>
      <w:r w:rsidR="00CE3095" w:rsidRPr="00735187">
        <w:rPr>
          <w:rFonts w:ascii="Times New Roman" w:eastAsia="Times New Roman" w:hAnsi="Times New Roman"/>
          <w:sz w:val="26"/>
          <w:szCs w:val="26"/>
          <w:lang w:eastAsia="ru-RU"/>
        </w:rPr>
        <w:t>остаются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тарифы и льготы по оплате коммунальных услуг и электроэнергии и оплата жилищно-комм</w:t>
      </w:r>
      <w:r w:rsidR="004335CD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унальных услуг (ЖКХ). </w:t>
      </w:r>
    </w:p>
    <w:p w:rsidR="00B44575" w:rsidRPr="00735187" w:rsidRDefault="00B44575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color w:val="0A0808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В 1 квартал</w:t>
      </w:r>
      <w:r w:rsidR="0015129D"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е</w:t>
      </w:r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 xml:space="preserve"> 2019 года в информационн</w:t>
      </w:r>
      <w:proofErr w:type="gramStart"/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о-</w:t>
      </w:r>
      <w:proofErr w:type="gramEnd"/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 xml:space="preserve"> разъяснительных целях в рамках проекта «Школа грамотного потребителя» проводились встречи с гражданами г. Тарусы и г. Сухиничи по вопросам жилищно-коммунального хозяйства. </w:t>
      </w:r>
    </w:p>
    <w:p w:rsidR="00B44575" w:rsidRPr="00735187" w:rsidRDefault="00B44575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Для ознакомления граждан с наиболее важными изменениями жилищного законодательства с 1 января в информационной ленте «Для граждан» на официальном сайте министерства размещена информация «Часто задаваемые вопросы о реформе по обращению с твердыми коммунальными отходами»</w:t>
      </w:r>
    </w:p>
    <w:p w:rsidR="00B44575" w:rsidRPr="00735187" w:rsidRDefault="00B44575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В целях информирования граждан на официальном сайте</w:t>
      </w:r>
      <w:r w:rsidR="0015129D"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 xml:space="preserve"> </w:t>
      </w:r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 xml:space="preserve">обновлена информация о действующих нормативных правовых актах, а также информация, 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необходимая для проверки и самопроверки соблюдения предельных (максимальных) индексов изменения размера вносимой гражданам платы за коммунальные услуги:</w:t>
      </w:r>
    </w:p>
    <w:p w:rsidR="00B44575" w:rsidRPr="00735187" w:rsidRDefault="00B44575" w:rsidP="0073518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ab/>
        <w:t>распоряжение Правительства Российской Федерации от 15.11.2018 №2490-р;</w:t>
      </w:r>
    </w:p>
    <w:p w:rsidR="00B44575" w:rsidRPr="00735187" w:rsidRDefault="00B44575" w:rsidP="0073518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постановление Губернатора Калужской области от 14.19.2019 № 567 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br/>
        <w:t>«Об установлении предельных (максимальных) индексов изменения размера вносимой гражданам платы за коммунальные услуги в муниципальных образованиях Калужской области на 2019 год»;</w:t>
      </w:r>
    </w:p>
    <w:p w:rsidR="00B44575" w:rsidRPr="00735187" w:rsidRDefault="00B44575" w:rsidP="0073518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информация о порядке предоставления субсидий, направленных 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соблюдение предельных индексов </w:t>
      </w:r>
    </w:p>
    <w:p w:rsidR="00B44575" w:rsidRPr="00735187" w:rsidRDefault="00B44575" w:rsidP="0073518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 размере субсидий, предусмотренных за счет средств бюджета муниципального образования, направленных на соблюдение предельных индексов </w:t>
      </w:r>
    </w:p>
    <w:p w:rsidR="00B44575" w:rsidRPr="00735187" w:rsidRDefault="00B44575" w:rsidP="0073518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ab/>
        <w:t>о тарифах, установленных на 2019 год для населения по видам коммунальных услуг в разрезе муниципальных образований и регулируемых организаций Калужской области с календарной разбивкой;</w:t>
      </w:r>
    </w:p>
    <w:p w:rsidR="00B44575" w:rsidRPr="00735187" w:rsidRDefault="00B44575" w:rsidP="0073518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ab/>
        <w:t>об установленных в Калужской области единых нормативах потребления коммунальных услуг;</w:t>
      </w:r>
    </w:p>
    <w:p w:rsidR="00B44575" w:rsidRPr="00735187" w:rsidRDefault="00B44575" w:rsidP="0073518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color w:val="637282"/>
          <w:sz w:val="26"/>
          <w:szCs w:val="26"/>
          <w:lang w:eastAsia="ru-RU"/>
        </w:rPr>
        <w:t>-</w:t>
      </w:r>
      <w:r w:rsidRPr="00735187">
        <w:rPr>
          <w:rFonts w:ascii="Times New Roman" w:eastAsia="Times New Roman" w:hAnsi="Times New Roman"/>
          <w:color w:val="637282"/>
          <w:sz w:val="26"/>
          <w:szCs w:val="26"/>
          <w:lang w:eastAsia="ru-RU"/>
        </w:rPr>
        <w:tab/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информационное сообщение об изменении совокупной платы за коммунальные услуги;</w:t>
      </w:r>
    </w:p>
    <w:p w:rsidR="00B44575" w:rsidRPr="00735187" w:rsidRDefault="00B44575" w:rsidP="0073518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35187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информационный инструмент, позволяющий гражданам обеспечить он-</w:t>
      </w:r>
      <w:proofErr w:type="spellStart"/>
      <w:r w:rsidRPr="00735187">
        <w:rPr>
          <w:rFonts w:ascii="Times New Roman" w:eastAsia="Times New Roman" w:hAnsi="Times New Roman"/>
          <w:bCs/>
          <w:sz w:val="26"/>
          <w:szCs w:val="26"/>
          <w:lang w:eastAsia="ru-RU"/>
        </w:rPr>
        <w:t>лайн</w:t>
      </w:r>
      <w:proofErr w:type="spellEnd"/>
      <w:r w:rsidRPr="007351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проверку соответствия роста размера платы за коммунальные услуги установленным ограничениям (с инструкцией пользователя);</w:t>
      </w:r>
    </w:p>
    <w:p w:rsidR="00B44575" w:rsidRPr="00735187" w:rsidRDefault="00B44575" w:rsidP="0073518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Pr="00735187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о порядке обращения граждан в государственную жилищную инспекцию Калужской области по вопросам соответствия роста размера платы за коммунальные услуги установленным ограничениям;</w:t>
      </w:r>
    </w:p>
    <w:p w:rsidR="00B44575" w:rsidRPr="00735187" w:rsidRDefault="00B44575" w:rsidP="0073518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ab/>
        <w:t>о необходимости обращения граждан в территориальные органы социальной защиты населения Калужской области.</w:t>
      </w:r>
    </w:p>
    <w:p w:rsidR="00B44575" w:rsidRPr="00735187" w:rsidRDefault="0015129D" w:rsidP="00735187">
      <w:pPr>
        <w:tabs>
          <w:tab w:val="left" w:pos="851"/>
          <w:tab w:val="left" w:pos="900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в </w:t>
      </w:r>
      <w:r w:rsidR="00B44575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информационно-разъяснительной работы на официальной сайте министерства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44575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в источнике официального опубликования нормативных правовых актов органов государственной власти Калужской области (газета «Весть») размещены результаты мониторингов соблюдения предельных (максимальных) индексов изменения размера вносимой гражданами платы за коммунальные услуги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575" w:rsidRPr="00735187">
        <w:rPr>
          <w:rFonts w:ascii="Times New Roman" w:eastAsia="Times New Roman" w:hAnsi="Times New Roman"/>
          <w:sz w:val="26"/>
          <w:szCs w:val="26"/>
          <w:lang w:eastAsia="ru-RU"/>
        </w:rPr>
        <w:t>за январь, февраль и март текущего года, проведенных в формате электронного шаблона ФГИС ЕИАС ФАС России.</w:t>
      </w:r>
      <w:proofErr w:type="gramEnd"/>
    </w:p>
    <w:p w:rsidR="00BF203C" w:rsidRPr="00735187" w:rsidRDefault="00BF203C" w:rsidP="00735187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 обращениям, содержащим информацию о нарушениях, связанных с оборотом алкогольной продукции и пива, проведены контрольные мероприятия, в том числе выезды совместно с сотрудниками УМВД России по Калужской области. </w:t>
      </w:r>
    </w:p>
    <w:p w:rsidR="00BF203C" w:rsidRPr="00735187" w:rsidRDefault="00BF203C" w:rsidP="00735187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невозможности  дать ответ по существу, обращения  перенаправляются для рассмотрения по компетенции в уполномоченные органы. </w:t>
      </w:r>
    </w:p>
    <w:p w:rsidR="00BF203C" w:rsidRPr="00735187" w:rsidRDefault="00BF203C" w:rsidP="00735187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снижения количества обращений граждан, проводилась информационно-разъяснительная работа с юридическими лицами и индивидуальными предпринимателями о недопущении нарушения обязательных требований, посредством проведения консультаций (в том числе по телефону), размещения необходимой информации на сайте министерства. </w:t>
      </w:r>
    </w:p>
    <w:p w:rsidR="002A6FA4" w:rsidRPr="00735187" w:rsidRDefault="002A6FA4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 xml:space="preserve">В рамках 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информационно-разъяснительной работы  по вопросам входящим в компетенцию отдела потребительского рынка в течение </w:t>
      </w:r>
      <w:r w:rsidRPr="00735187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квартала 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2019 года </w:t>
      </w:r>
      <w:r w:rsidR="002E2E9D" w:rsidRPr="00735187">
        <w:rPr>
          <w:rFonts w:ascii="Times New Roman" w:eastAsia="Times New Roman" w:hAnsi="Times New Roman"/>
          <w:sz w:val="26"/>
          <w:szCs w:val="26"/>
          <w:lang w:eastAsia="ru-RU"/>
        </w:rPr>
        <w:t>на официальном портале органов исполнительной власти Калужской области  проводилось:</w:t>
      </w:r>
    </w:p>
    <w:p w:rsidR="002A6FA4" w:rsidRPr="00735187" w:rsidRDefault="002A6FA4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- информационное наполнение раздела актуальными новостями, посвященными реализации мероприятий в</w:t>
      </w:r>
      <w:r w:rsidR="002E2E9D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сфере защиты прав потребителей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Pr="0073518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http://admoblkaluga.ru/sub/competitive/</w:t>
        </w:r>
      </w:hyperlink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A6FA4" w:rsidRPr="00735187" w:rsidRDefault="002A6FA4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информационное наполнение раздела, посвященного реализации программ в сфере обеспечения качества и безопасности производимых на территории Калужской области пищевых продуктов «Калужский продукт» </w:t>
      </w:r>
      <w:hyperlink r:id="rId8" w:history="1">
        <w:r w:rsidRPr="0073518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http://admoblkaluga.ru/sub/competitive/bye_kaluga/</w:t>
        </w:r>
      </w:hyperlink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E2E9D" w:rsidRPr="00735187" w:rsidRDefault="002A6FA4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информационное обновление раздела «Осторожно, фальсификат!»  </w:t>
      </w:r>
      <w:hyperlink r:id="rId9" w:history="1">
        <w:r w:rsidRPr="0073518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http://admoblkaluga.ru/sub/competitive/false/</w:t>
        </w:r>
      </w:hyperlink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E2E9D" w:rsidRPr="00735187">
        <w:rPr>
          <w:rFonts w:ascii="Times New Roman" w:eastAsia="Times New Roman" w:hAnsi="Times New Roman"/>
          <w:sz w:val="26"/>
          <w:szCs w:val="26"/>
          <w:lang w:eastAsia="ru-RU"/>
        </w:rPr>
        <w:t>В данный раздел д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ополнительно </w:t>
      </w:r>
      <w:proofErr w:type="gramStart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введены</w:t>
      </w:r>
      <w:proofErr w:type="gramEnd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2 подраздела: </w:t>
      </w:r>
    </w:p>
    <w:p w:rsidR="002E2E9D" w:rsidRPr="00735187" w:rsidRDefault="002E2E9D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1 - </w:t>
      </w:r>
      <w:r w:rsidR="002A6FA4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«Предотвращение нелегального оборота алкогольной продукции» </w:t>
      </w:r>
      <w:hyperlink r:id="rId10" w:history="1">
        <w:r w:rsidR="002A6FA4" w:rsidRPr="0073518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http://admoblkaluga.ru/sub/competitive/false/nelegal-oborot-alko.php</w:t>
        </w:r>
      </w:hyperlink>
      <w:r w:rsidR="002A6FA4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;     </w:t>
      </w:r>
    </w:p>
    <w:p w:rsidR="002A6FA4" w:rsidRPr="00735187" w:rsidRDefault="002E2E9D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2 - </w:t>
      </w:r>
      <w:r w:rsidR="002A6FA4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«Предотвращение нелегального оборота пищевой продукции» </w:t>
      </w:r>
      <w:hyperlink r:id="rId11" w:history="1">
        <w:r w:rsidR="002A6FA4" w:rsidRPr="0073518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http://admoblkaluga.ru/sub/competitive/false/nelegal-oborot-pishchevoy.php</w:t>
        </w:r>
      </w:hyperlink>
      <w:r w:rsidR="002A6FA4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</w:p>
    <w:p w:rsidR="002A6FA4" w:rsidRPr="00735187" w:rsidRDefault="002A6FA4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- во вкладке «Потребительский рынок» в разделе «защита прав потребителей» введен новый подраздел «межведомственный координационный совет» </w:t>
      </w:r>
      <w:hyperlink r:id="rId12" w:history="1">
        <w:r w:rsidRPr="0073518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http://admoblkaluga.ru/sub/competitive/departments_mkpt/market_mkpt/consumer_rights_protection/</w:t>
        </w:r>
      </w:hyperlink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A6FA4" w:rsidRPr="00735187" w:rsidRDefault="002A6FA4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в указанных выше </w:t>
      </w:r>
      <w:proofErr w:type="gramStart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разделах</w:t>
      </w:r>
      <w:proofErr w:type="gramEnd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поддерживается в актуальном состоянии.</w:t>
      </w:r>
    </w:p>
    <w:p w:rsidR="002127F3" w:rsidRPr="00735187" w:rsidRDefault="002A6FA4" w:rsidP="00735187">
      <w:p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A0808"/>
          <w:sz w:val="26"/>
          <w:szCs w:val="26"/>
          <w:lang w:eastAsia="ru-RU"/>
        </w:rPr>
      </w:pPr>
      <w:proofErr w:type="gramStart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21 марта 2019 года в МР «</w:t>
      </w:r>
      <w:proofErr w:type="spellStart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Сухиничский</w:t>
      </w:r>
      <w:proofErr w:type="spellEnd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был организован  прием граждан в рамках работы общественных приёмных по защите прав потребителей, целью которых является пропаганда основных положений Закона РФ «О защите прав потребителей», повышение потребительской грамотности; оказание консультативной помощи в восстановлении нарушенных прав непосредственно по месту жительства потребителей, выявление проблем в обеспечении населения качественной и безопасной продукцией.</w:t>
      </w:r>
      <w:proofErr w:type="gramEnd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с потребителями направлена в 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первую очередь на их просвещение, ознакомление с предоставленными законом правами,</w:t>
      </w:r>
      <w:r w:rsidR="0015129D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гарантиями и способами защиты.</w:t>
      </w:r>
    </w:p>
    <w:p w:rsidR="002127F3" w:rsidRPr="00735187" w:rsidRDefault="002A6FA4" w:rsidP="00735187">
      <w:pPr>
        <w:spacing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В 1 квартале заявления и жалобы о фактах возможных нарушений законодательства в сфере закупок </w:t>
      </w:r>
      <w:r w:rsidR="002127F3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в управление 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государственных закупок </w:t>
      </w:r>
      <w:r w:rsidR="002127F3"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от граждан </w:t>
      </w: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поступали </w:t>
      </w:r>
    </w:p>
    <w:p w:rsidR="002127F3" w:rsidRPr="00735187" w:rsidRDefault="002127F3" w:rsidP="007351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недопущения оборота фальсифицированной продукции на территории Калужской области, и принятия соответствующих мер, для заказчиков, осуществляющих закупки продуктов питания, в  рубрике: «Осторожно: Фальсификат!» на главной странице регионального сайта в сети Интернет с электронным адресом: http://tender.admoblkaluga.ru размещаются сведения о нахождении в обороте фальсифицированной продукции, полученные от Управления </w:t>
      </w:r>
      <w:proofErr w:type="spellStart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>Роспотребнадзора</w:t>
      </w:r>
      <w:proofErr w:type="spellEnd"/>
      <w:r w:rsidRPr="00735187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Калужской области.</w:t>
      </w:r>
    </w:p>
    <w:p w:rsidR="00A830B9" w:rsidRPr="00735187" w:rsidRDefault="00A830B9" w:rsidP="00735187">
      <w:pPr>
        <w:spacing w:line="276" w:lineRule="auto"/>
        <w:ind w:firstLine="540"/>
        <w:jc w:val="both"/>
        <w:rPr>
          <w:rFonts w:ascii="Times New Roman" w:eastAsia="Times New Roman" w:hAnsi="Times New Roman"/>
          <w:color w:val="0A0808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По жалобам, не относящимся к компетенции министерства, была проведена работа с соответствующими ведомствами и органами местного самоуправления.</w:t>
      </w:r>
    </w:p>
    <w:p w:rsidR="00A830B9" w:rsidRPr="00735187" w:rsidRDefault="00A830B9" w:rsidP="00735187">
      <w:pPr>
        <w:spacing w:line="276" w:lineRule="auto"/>
        <w:jc w:val="both"/>
        <w:rPr>
          <w:rFonts w:ascii="Times New Roman" w:eastAsia="Times New Roman" w:hAnsi="Times New Roman"/>
          <w:color w:val="0A0808"/>
          <w:sz w:val="26"/>
          <w:szCs w:val="26"/>
          <w:lang w:eastAsia="ru-RU"/>
        </w:rPr>
      </w:pPr>
      <w:r w:rsidRPr="00735187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Мероприятия, направленные на устранение причин и условий, способствующих повышенной активности обращений граждан по вопросам, решение которых входит в компетенцию министерства конкурентной политики Калужской области, безусловно, способствовали снижению письменных обращений граждан, а так же уменьшению количества записавшихся  на прием по личным вопросам к министру конкурентной политики.</w:t>
      </w:r>
    </w:p>
    <w:p w:rsidR="00655088" w:rsidRPr="00A830B9" w:rsidRDefault="00655088" w:rsidP="00655088">
      <w:pPr>
        <w:jc w:val="both"/>
        <w:rPr>
          <w:rFonts w:ascii="Times New Roman" w:hAnsi="Times New Roman"/>
          <w:sz w:val="26"/>
          <w:szCs w:val="26"/>
        </w:rPr>
      </w:pPr>
    </w:p>
    <w:p w:rsidR="00655088" w:rsidRPr="00AD7942" w:rsidRDefault="00655088" w:rsidP="00655088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04"/>
        <w:gridCol w:w="3524"/>
        <w:gridCol w:w="2636"/>
      </w:tblGrid>
      <w:tr w:rsidR="00655088" w:rsidRPr="00AD7942" w:rsidTr="001E4687">
        <w:tc>
          <w:tcPr>
            <w:tcW w:w="3304" w:type="dxa"/>
            <w:shd w:val="clear" w:color="auto" w:fill="auto"/>
            <w:vAlign w:val="center"/>
          </w:tcPr>
          <w:p w:rsidR="00655088" w:rsidRPr="00AD7942" w:rsidRDefault="00210826" w:rsidP="0021082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942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655088" w:rsidRPr="00AD7942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 w:rsidR="00A15EC2" w:rsidRPr="00AD79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655088" w:rsidRPr="00AD7942" w:rsidRDefault="00655088" w:rsidP="002C78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655088" w:rsidRPr="00AD7942" w:rsidRDefault="00A15EC2" w:rsidP="0021082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D794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210826" w:rsidRPr="00AD7942">
              <w:rPr>
                <w:rFonts w:ascii="Times New Roman" w:hAnsi="Times New Roman"/>
                <w:b/>
                <w:sz w:val="26"/>
                <w:szCs w:val="26"/>
              </w:rPr>
              <w:t xml:space="preserve"> Н.В. Владимир</w:t>
            </w:r>
            <w:r w:rsidR="001E4687" w:rsidRPr="00AD7942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</w:p>
        </w:tc>
      </w:tr>
    </w:tbl>
    <w:p w:rsidR="00655088" w:rsidRPr="00AD7942" w:rsidRDefault="00655088" w:rsidP="00655088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55088" w:rsidRPr="00AD7942" w:rsidRDefault="00655088" w:rsidP="00655088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55088" w:rsidRPr="00AD7942" w:rsidRDefault="00655088" w:rsidP="00655088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55088" w:rsidRPr="008275E9" w:rsidRDefault="00C12503" w:rsidP="00655088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М.В Ерошкина</w:t>
      </w:r>
    </w:p>
    <w:p w:rsidR="000F273B" w:rsidRDefault="00655088" w:rsidP="00C102A4">
      <w:pPr>
        <w:jc w:val="both"/>
      </w:pPr>
      <w:r w:rsidRPr="008275E9">
        <w:rPr>
          <w:rFonts w:ascii="Times New Roman" w:eastAsia="Times New Roman" w:hAnsi="Times New Roman"/>
          <w:bCs/>
          <w:sz w:val="20"/>
          <w:szCs w:val="20"/>
          <w:lang w:eastAsia="ru-RU"/>
        </w:rPr>
        <w:t>715-005</w:t>
      </w:r>
    </w:p>
    <w:sectPr w:rsidR="000F273B" w:rsidSect="0073518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E88"/>
    <w:multiLevelType w:val="hybridMultilevel"/>
    <w:tmpl w:val="9BB873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623A0B"/>
    <w:multiLevelType w:val="hybridMultilevel"/>
    <w:tmpl w:val="5E241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492E"/>
    <w:multiLevelType w:val="hybridMultilevel"/>
    <w:tmpl w:val="B4AA5C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8"/>
    <w:rsid w:val="00013B7B"/>
    <w:rsid w:val="00044878"/>
    <w:rsid w:val="00055447"/>
    <w:rsid w:val="00067272"/>
    <w:rsid w:val="0009603C"/>
    <w:rsid w:val="000974C1"/>
    <w:rsid w:val="000C44BF"/>
    <w:rsid w:val="000F273B"/>
    <w:rsid w:val="0014135A"/>
    <w:rsid w:val="0015129D"/>
    <w:rsid w:val="00154639"/>
    <w:rsid w:val="00174415"/>
    <w:rsid w:val="001B7DAB"/>
    <w:rsid w:val="001C1966"/>
    <w:rsid w:val="001D425C"/>
    <w:rsid w:val="001E4687"/>
    <w:rsid w:val="00204B88"/>
    <w:rsid w:val="00210826"/>
    <w:rsid w:val="002127F3"/>
    <w:rsid w:val="00223EB3"/>
    <w:rsid w:val="00226ECB"/>
    <w:rsid w:val="002363DF"/>
    <w:rsid w:val="00240292"/>
    <w:rsid w:val="0024433B"/>
    <w:rsid w:val="00260F9F"/>
    <w:rsid w:val="00270F8B"/>
    <w:rsid w:val="002A6FA4"/>
    <w:rsid w:val="002E2E9D"/>
    <w:rsid w:val="00396916"/>
    <w:rsid w:val="004276E2"/>
    <w:rsid w:val="004335CD"/>
    <w:rsid w:val="00444F59"/>
    <w:rsid w:val="00446BC9"/>
    <w:rsid w:val="004F0B44"/>
    <w:rsid w:val="00523C08"/>
    <w:rsid w:val="00575C94"/>
    <w:rsid w:val="005F0F4C"/>
    <w:rsid w:val="00643374"/>
    <w:rsid w:val="00655088"/>
    <w:rsid w:val="00655544"/>
    <w:rsid w:val="006832BC"/>
    <w:rsid w:val="006832E9"/>
    <w:rsid w:val="00693D2E"/>
    <w:rsid w:val="006F5F0E"/>
    <w:rsid w:val="0070686B"/>
    <w:rsid w:val="00735187"/>
    <w:rsid w:val="007470EF"/>
    <w:rsid w:val="00760B96"/>
    <w:rsid w:val="007C4E48"/>
    <w:rsid w:val="00813E61"/>
    <w:rsid w:val="00867DFD"/>
    <w:rsid w:val="00887D53"/>
    <w:rsid w:val="008A1A0A"/>
    <w:rsid w:val="008E7D4E"/>
    <w:rsid w:val="00917C43"/>
    <w:rsid w:val="009212AB"/>
    <w:rsid w:val="00955922"/>
    <w:rsid w:val="00971395"/>
    <w:rsid w:val="00A15EC2"/>
    <w:rsid w:val="00A7673A"/>
    <w:rsid w:val="00A830B9"/>
    <w:rsid w:val="00A907DF"/>
    <w:rsid w:val="00AA4CEA"/>
    <w:rsid w:val="00AB048B"/>
    <w:rsid w:val="00AD7942"/>
    <w:rsid w:val="00B44575"/>
    <w:rsid w:val="00B469F5"/>
    <w:rsid w:val="00B62BAE"/>
    <w:rsid w:val="00BB34F1"/>
    <w:rsid w:val="00BB66A5"/>
    <w:rsid w:val="00BE457B"/>
    <w:rsid w:val="00BF203C"/>
    <w:rsid w:val="00C102A4"/>
    <w:rsid w:val="00C12503"/>
    <w:rsid w:val="00C525F1"/>
    <w:rsid w:val="00CE017D"/>
    <w:rsid w:val="00CE3095"/>
    <w:rsid w:val="00CF7A29"/>
    <w:rsid w:val="00D20BBC"/>
    <w:rsid w:val="00D25A37"/>
    <w:rsid w:val="00D56B52"/>
    <w:rsid w:val="00D623C3"/>
    <w:rsid w:val="00DE190D"/>
    <w:rsid w:val="00E0136B"/>
    <w:rsid w:val="00E8773F"/>
    <w:rsid w:val="00E907A0"/>
    <w:rsid w:val="00EA4D4E"/>
    <w:rsid w:val="00ED2D65"/>
    <w:rsid w:val="00EE191B"/>
    <w:rsid w:val="00F15825"/>
    <w:rsid w:val="00F84140"/>
    <w:rsid w:val="00FC522A"/>
    <w:rsid w:val="00FD0057"/>
    <w:rsid w:val="00FD45F8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73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8773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773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1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2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73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8773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773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1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2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sub/competitive/bye_kalug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oblkaluga.ru/sub/competitive/" TargetMode="External"/><Relationship Id="rId12" Type="http://schemas.openxmlformats.org/officeDocument/2006/relationships/hyperlink" Target="http://admoblkaluga.ru/sub/competitive/departments_mkpt/market_mkpt/consumer_rights_protec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oblkaluga.ru/sub/competitive/false/nelegal-oborot-pishchevoy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oblkaluga.ru/sub/competitive/false/nelegal-oborot-alko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oblkaluga.ru/sub/competitive/fal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AFA4-EAFB-43D3-9D9F-5B6DFC54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Светлана Дмитриевна</dc:creator>
  <cp:lastModifiedBy>Ерошкина Марина Владимировна</cp:lastModifiedBy>
  <cp:revision>4</cp:revision>
  <cp:lastPrinted>2016-07-01T05:42:00Z</cp:lastPrinted>
  <dcterms:created xsi:type="dcterms:W3CDTF">2019-05-07T11:25:00Z</dcterms:created>
  <dcterms:modified xsi:type="dcterms:W3CDTF">2019-05-07T11:25:00Z</dcterms:modified>
</cp:coreProperties>
</file>