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7F" w:rsidRDefault="00E64B7F" w:rsidP="000148D4">
      <w:pPr>
        <w:framePr w:w="9639" w:h="2445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E64B7F" w:rsidRDefault="00E64B7F" w:rsidP="000148D4">
      <w:pPr>
        <w:framePr w:w="9639" w:h="2445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sz w:val="16"/>
        </w:rPr>
        <w:t>РОССИЙСКАЯ ФЕДЕРАЦИЯ</w:t>
      </w:r>
    </w:p>
    <w:p w:rsidR="00E64B7F" w:rsidRDefault="00E64B7F" w:rsidP="000148D4">
      <w:pPr>
        <w:framePr w:w="9639" w:h="2445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b/>
        </w:rPr>
      </w:pPr>
      <w:r>
        <w:rPr>
          <w:b/>
        </w:rPr>
        <w:t>МИНИСТЕРСТВО ФИНАНСОВ КАЛУЖСКОЙ ОБЛАСТИ</w:t>
      </w:r>
    </w:p>
    <w:p w:rsidR="00E64B7F" w:rsidRDefault="00E64B7F" w:rsidP="000148D4">
      <w:pPr>
        <w:pStyle w:val="a5"/>
        <w:framePr w:h="2445" w:wrap="around" w:x="1474" w:y="856"/>
        <w:rPr>
          <w:sz w:val="48"/>
        </w:rPr>
      </w:pPr>
      <w:proofErr w:type="gramStart"/>
      <w:r>
        <w:t>П</w:t>
      </w:r>
      <w:proofErr w:type="gramEnd"/>
      <w:r>
        <w:t xml:space="preserve"> Р И К А З</w:t>
      </w:r>
    </w:p>
    <w:p w:rsidR="002F6788" w:rsidRPr="002F6788" w:rsidRDefault="002F6788" w:rsidP="002F6788">
      <w:pPr>
        <w:framePr w:w="9639" w:h="2445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16"/>
          <w:u w:val="single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64B7F" w:rsidRDefault="00E64B7F" w:rsidP="00E44632">
      <w:pPr>
        <w:framePr w:w="9639" w:h="2445" w:hSpace="113" w:vSpace="113" w:wrap="around" w:vAnchor="page" w:hAnchor="page" w:x="1474" w:y="856" w:anchorLock="1"/>
        <w:widowControl w:val="0"/>
        <w:tabs>
          <w:tab w:val="left" w:pos="0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16"/>
        </w:rPr>
      </w:pPr>
      <w:r>
        <w:rPr>
          <w:sz w:val="16"/>
        </w:rPr>
        <w:t xml:space="preserve">   </w:t>
      </w:r>
      <w:r w:rsidR="00E44632">
        <w:rPr>
          <w:sz w:val="16"/>
        </w:rPr>
        <w:t>_________</w:t>
      </w:r>
      <w:r w:rsidR="008374F9">
        <w:rPr>
          <w:sz w:val="16"/>
        </w:rPr>
        <w:t>__________</w:t>
      </w:r>
      <w:r>
        <w:rPr>
          <w:sz w:val="16"/>
        </w:rPr>
        <w:t xml:space="preserve">                    </w:t>
      </w:r>
      <w:r w:rsidRPr="00FC1AF1">
        <w:rPr>
          <w:sz w:val="16"/>
        </w:rPr>
        <w:tab/>
      </w:r>
      <w:r w:rsidRPr="00FC1AF1">
        <w:rPr>
          <w:sz w:val="16"/>
        </w:rPr>
        <w:tab/>
      </w:r>
      <w:r>
        <w:rPr>
          <w:sz w:val="16"/>
        </w:rPr>
        <w:t xml:space="preserve">                                        </w:t>
      </w:r>
      <w:r>
        <w:rPr>
          <w:sz w:val="20"/>
        </w:rPr>
        <w:t>№</w:t>
      </w:r>
      <w:r>
        <w:rPr>
          <w:sz w:val="16"/>
        </w:rPr>
        <w:t>______</w:t>
      </w:r>
    </w:p>
    <w:tbl>
      <w:tblPr>
        <w:tblW w:w="0" w:type="auto"/>
        <w:tblInd w:w="24" w:type="dxa"/>
        <w:tblLook w:val="0000" w:firstRow="0" w:lastRow="0" w:firstColumn="0" w:lastColumn="0" w:noHBand="0" w:noVBand="0"/>
      </w:tblPr>
      <w:tblGrid>
        <w:gridCol w:w="5038"/>
      </w:tblGrid>
      <w:tr w:rsidR="003A30A4" w:rsidTr="003A30A4">
        <w:trPr>
          <w:trHeight w:val="1961"/>
        </w:trPr>
        <w:tc>
          <w:tcPr>
            <w:tcW w:w="5038" w:type="dxa"/>
          </w:tcPr>
          <w:p w:rsidR="003A30A4" w:rsidRDefault="003A30A4" w:rsidP="00404124">
            <w:pPr>
              <w:pStyle w:val="ConsPlusTitle"/>
              <w:ind w:lef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CA">
              <w:rPr>
                <w:rFonts w:ascii="Times New Roman" w:hAnsi="Times New Roman" w:cs="Times New Roman"/>
                <w:sz w:val="26"/>
                <w:szCs w:val="26"/>
              </w:rPr>
              <w:t xml:space="preserve">Об   утверждении   </w:t>
            </w:r>
            <w:r w:rsidR="0040412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405F3">
              <w:rPr>
                <w:rFonts w:ascii="Times New Roman" w:hAnsi="Times New Roman" w:cs="Times New Roman"/>
                <w:sz w:val="26"/>
                <w:szCs w:val="26"/>
              </w:rPr>
              <w:t>етодики прогнозирования поступлений по источникам финансирования дефицита областного бюджета Калужской области</w:t>
            </w:r>
          </w:p>
        </w:tc>
      </w:tr>
    </w:tbl>
    <w:p w:rsidR="00CE54CA" w:rsidRDefault="00B7289C" w:rsidP="00B7289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CE54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8D4" w:rsidRPr="00FC1AF1" w:rsidRDefault="000148D4" w:rsidP="00FC1AF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FC1AF1" w:rsidRDefault="00A42BC0" w:rsidP="00C121C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3A30A4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="003A30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05F3">
        <w:rPr>
          <w:rFonts w:ascii="Times New Roman" w:hAnsi="Times New Roman" w:cs="Times New Roman"/>
          <w:b w:val="0"/>
          <w:sz w:val="26"/>
          <w:szCs w:val="26"/>
        </w:rPr>
        <w:t>1</w:t>
      </w:r>
      <w:r w:rsidR="00142863">
        <w:rPr>
          <w:rFonts w:ascii="Times New Roman" w:hAnsi="Times New Roman" w:cs="Times New Roman"/>
          <w:b w:val="0"/>
          <w:sz w:val="26"/>
          <w:szCs w:val="26"/>
        </w:rPr>
        <w:t xml:space="preserve"> статьи </w:t>
      </w:r>
      <w:r w:rsidR="00A405F3">
        <w:rPr>
          <w:rFonts w:ascii="Times New Roman" w:hAnsi="Times New Roman" w:cs="Times New Roman"/>
          <w:b w:val="0"/>
          <w:sz w:val="26"/>
          <w:szCs w:val="26"/>
        </w:rPr>
        <w:t>160.2.</w:t>
      </w:r>
      <w:r w:rsidR="00142863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</w:t>
      </w:r>
      <w:r w:rsidR="00FC1AF1" w:rsidRPr="00FC1AF1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="006E7226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7226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остановлением Правительства Российской Федерации от 26.05.2016 </w:t>
      </w:r>
      <w:r w:rsidR="0004224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№ 469 «Об общих требованиях к методике прогнозирования поступлений по источникам финансирования дефицита бюджета»</w:t>
      </w:r>
      <w:r w:rsidR="00142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C1AF1" w:rsidRPr="000B705E">
        <w:rPr>
          <w:rFonts w:ascii="Times New Roman" w:hAnsi="Times New Roman" w:cs="Times New Roman"/>
          <w:sz w:val="26"/>
          <w:szCs w:val="26"/>
        </w:rPr>
        <w:t>ПРИКАЗЫВАЮ:</w:t>
      </w:r>
    </w:p>
    <w:p w:rsidR="00395CFF" w:rsidRDefault="00FC1AF1" w:rsidP="003A30A4">
      <w:pPr>
        <w:pStyle w:val="ConsPlusTitle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04124">
        <w:rPr>
          <w:rFonts w:ascii="Times New Roman" w:hAnsi="Times New Roman" w:cs="Times New Roman"/>
          <w:b w:val="0"/>
          <w:sz w:val="26"/>
          <w:szCs w:val="26"/>
        </w:rPr>
        <w:t>м</w:t>
      </w:r>
      <w:r w:rsidR="00A405F3">
        <w:rPr>
          <w:rFonts w:ascii="Times New Roman" w:hAnsi="Times New Roman" w:cs="Times New Roman"/>
          <w:b w:val="0"/>
          <w:sz w:val="26"/>
          <w:szCs w:val="26"/>
        </w:rPr>
        <w:t>етодику</w:t>
      </w:r>
      <w:r w:rsidR="001428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05F3">
        <w:rPr>
          <w:rFonts w:ascii="Times New Roman" w:hAnsi="Times New Roman" w:cs="Times New Roman"/>
          <w:b w:val="0"/>
          <w:sz w:val="26"/>
          <w:szCs w:val="26"/>
        </w:rPr>
        <w:t xml:space="preserve">прогнозирования поступлений по источникам </w:t>
      </w:r>
      <w:r w:rsidR="003706F1">
        <w:rPr>
          <w:rFonts w:ascii="Times New Roman" w:hAnsi="Times New Roman" w:cs="Times New Roman"/>
          <w:b w:val="0"/>
          <w:sz w:val="26"/>
          <w:szCs w:val="26"/>
        </w:rPr>
        <w:t xml:space="preserve">финансирования дефицита областного бюджета </w:t>
      </w:r>
      <w:r w:rsidR="00404124"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приказу</w:t>
      </w:r>
      <w:r w:rsidR="0014286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A30A4" w:rsidRDefault="008271D5" w:rsidP="003A30A4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8271D5">
        <w:rPr>
          <w:rFonts w:ascii="Times New Roman" w:hAnsi="Times New Roman" w:cs="Times New Roman"/>
        </w:rPr>
        <w:t>Контроль за</w:t>
      </w:r>
      <w:proofErr w:type="gramEnd"/>
      <w:r w:rsidRPr="008271D5">
        <w:rPr>
          <w:rFonts w:ascii="Times New Roman" w:hAnsi="Times New Roman" w:cs="Times New Roman"/>
        </w:rPr>
        <w:t xml:space="preserve"> </w:t>
      </w:r>
      <w:r w:rsidR="00E7477C">
        <w:rPr>
          <w:rFonts w:ascii="Times New Roman" w:hAnsi="Times New Roman" w:cs="Times New Roman"/>
        </w:rPr>
        <w:t>вы</w:t>
      </w:r>
      <w:r w:rsidRPr="008271D5">
        <w:rPr>
          <w:rFonts w:ascii="Times New Roman" w:hAnsi="Times New Roman" w:cs="Times New Roman"/>
        </w:rPr>
        <w:t xml:space="preserve">полнением настоящего </w:t>
      </w:r>
      <w:r w:rsidR="00404124">
        <w:rPr>
          <w:rFonts w:ascii="Times New Roman" w:hAnsi="Times New Roman" w:cs="Times New Roman"/>
        </w:rPr>
        <w:t>п</w:t>
      </w:r>
      <w:r w:rsidRPr="008271D5">
        <w:rPr>
          <w:rFonts w:ascii="Times New Roman" w:hAnsi="Times New Roman" w:cs="Times New Roman"/>
        </w:rPr>
        <w:t>риказа возл</w:t>
      </w:r>
      <w:r w:rsidR="00381F16">
        <w:rPr>
          <w:rFonts w:ascii="Times New Roman" w:hAnsi="Times New Roman" w:cs="Times New Roman"/>
        </w:rPr>
        <w:t>ожить</w:t>
      </w:r>
      <w:r w:rsidRPr="008271D5">
        <w:rPr>
          <w:rFonts w:ascii="Times New Roman" w:hAnsi="Times New Roman" w:cs="Times New Roman"/>
        </w:rPr>
        <w:t xml:space="preserve"> на заместителя министра – начальника управления по </w:t>
      </w:r>
      <w:r w:rsidR="003A30A4">
        <w:rPr>
          <w:rFonts w:ascii="Times New Roman" w:hAnsi="Times New Roman" w:cs="Times New Roman"/>
        </w:rPr>
        <w:t>бюджетной политике</w:t>
      </w:r>
      <w:r w:rsidR="00381F16" w:rsidRPr="00381F16">
        <w:rPr>
          <w:rFonts w:ascii="Times New Roman" w:hAnsi="Times New Roman" w:cs="Times New Roman"/>
        </w:rPr>
        <w:t xml:space="preserve"> </w:t>
      </w:r>
      <w:r w:rsidR="003A30A4">
        <w:rPr>
          <w:rFonts w:ascii="Times New Roman" w:hAnsi="Times New Roman" w:cs="Times New Roman"/>
        </w:rPr>
        <w:t>М.В. Андрееву</w:t>
      </w:r>
      <w:r w:rsidRPr="008271D5">
        <w:rPr>
          <w:rFonts w:ascii="Times New Roman" w:hAnsi="Times New Roman" w:cs="Times New Roman"/>
        </w:rPr>
        <w:t>.</w:t>
      </w:r>
    </w:p>
    <w:p w:rsidR="00FB3809" w:rsidRDefault="003A30A4" w:rsidP="003A30A4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приказ вступает в силу со дня его официального опубликования.</w:t>
      </w:r>
    </w:p>
    <w:p w:rsidR="00FB3809" w:rsidRPr="008271D5" w:rsidRDefault="00FB3809" w:rsidP="00FB3809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9E3F0B" w:rsidRDefault="009E3F0B" w:rsidP="00C121C2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E2BBF" w:rsidRDefault="004E2BBF" w:rsidP="003706F1">
      <w:pPr>
        <w:pStyle w:val="1"/>
        <w:ind w:firstLine="0"/>
      </w:pPr>
      <w:r>
        <w:t>Министр 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6F1">
        <w:tab/>
        <w:t xml:space="preserve">       </w:t>
      </w:r>
      <w:r>
        <w:t>В.И. Авдеева</w:t>
      </w:r>
    </w:p>
    <w:p w:rsidR="00936DF4" w:rsidRDefault="00936DF4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B3809" w:rsidRDefault="00FB3809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B3809" w:rsidRDefault="00FB3809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91F57" w:rsidRDefault="004E2BBF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</w:t>
      </w:r>
    </w:p>
    <w:p w:rsidR="00191F57" w:rsidRDefault="00191F57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91F57" w:rsidRDefault="00191F57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4632" w:rsidRDefault="00E44632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4632" w:rsidRDefault="00E44632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4632" w:rsidRDefault="00E44632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4632" w:rsidRDefault="00E44632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4632" w:rsidRDefault="00E44632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4632" w:rsidRDefault="00E44632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06F1" w:rsidRDefault="003706F1" w:rsidP="001607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024EF" w:rsidRPr="008024EF" w:rsidRDefault="008024EF" w:rsidP="008024EF">
      <w:pPr>
        <w:pStyle w:val="ConsPlu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24EF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Приказу министерства финансов Калужской области от </w:t>
      </w:r>
      <w:r w:rsidR="00A405F3">
        <w:rPr>
          <w:rFonts w:ascii="Times New Roman" w:hAnsi="Times New Roman" w:cs="Times New Roman"/>
          <w:b w:val="0"/>
          <w:sz w:val="26"/>
          <w:szCs w:val="26"/>
        </w:rPr>
        <w:t>___.___.2016</w:t>
      </w:r>
      <w:r w:rsidRPr="008024E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405F3">
        <w:rPr>
          <w:rFonts w:ascii="Times New Roman" w:hAnsi="Times New Roman" w:cs="Times New Roman"/>
          <w:b w:val="0"/>
          <w:sz w:val="26"/>
          <w:szCs w:val="26"/>
        </w:rPr>
        <w:t>____</w:t>
      </w:r>
    </w:p>
    <w:p w:rsidR="004F3351" w:rsidRDefault="004F3351" w:rsidP="003706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5431A" w:rsidRDefault="003706F1" w:rsidP="003706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</w:t>
      </w:r>
    </w:p>
    <w:p w:rsidR="003706F1" w:rsidRPr="00D5431A" w:rsidRDefault="003706F1" w:rsidP="003706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прогнозирования поступлений по источникам финансирования дефицита областного бюджета Калужской области</w:t>
      </w:r>
    </w:p>
    <w:p w:rsidR="00D5431A" w:rsidRPr="00D5431A" w:rsidRDefault="00D5431A" w:rsidP="00D5431A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054401" w:rsidRPr="00C64C8F" w:rsidRDefault="00FC14F5" w:rsidP="00AA294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 w:rsidRPr="00D5431A">
        <w:rPr>
          <w:szCs w:val="26"/>
        </w:rPr>
        <w:t>Настоящ</w:t>
      </w:r>
      <w:r>
        <w:rPr>
          <w:szCs w:val="26"/>
        </w:rPr>
        <w:t>ая</w:t>
      </w:r>
      <w:r w:rsidR="00D5431A" w:rsidRPr="00D5431A">
        <w:rPr>
          <w:szCs w:val="26"/>
        </w:rPr>
        <w:t xml:space="preserve"> </w:t>
      </w:r>
      <w:r w:rsidR="00404124">
        <w:rPr>
          <w:szCs w:val="26"/>
        </w:rPr>
        <w:t>м</w:t>
      </w:r>
      <w:r w:rsidR="003706F1">
        <w:rPr>
          <w:szCs w:val="26"/>
        </w:rPr>
        <w:t>етодика</w:t>
      </w:r>
      <w:r w:rsidR="00D5431A" w:rsidRPr="00D5431A">
        <w:rPr>
          <w:szCs w:val="26"/>
        </w:rPr>
        <w:t xml:space="preserve"> </w:t>
      </w:r>
      <w:r w:rsidR="003706F1">
        <w:t>определяет параметры прогнозирования поступлений по источникам финансирования дефицита областного бюджета</w:t>
      </w:r>
      <w:r w:rsidR="00A42BC0">
        <w:t xml:space="preserve"> </w:t>
      </w:r>
      <w:r w:rsidR="006E7226">
        <w:t>на очередной финансовый год и плановый период</w:t>
      </w:r>
      <w:r w:rsidR="003706F1" w:rsidRPr="00C64C8F">
        <w:rPr>
          <w:szCs w:val="26"/>
        </w:rPr>
        <w:t>, главным администратором которых является министерство финансов Калужской области (далее - главный администратор).</w:t>
      </w:r>
    </w:p>
    <w:p w:rsidR="003706F1" w:rsidRDefault="00DF0CEE" w:rsidP="00AA294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 w:rsidRPr="00C64C8F">
        <w:rPr>
          <w:szCs w:val="26"/>
        </w:rPr>
        <w:t xml:space="preserve">Перечень </w:t>
      </w:r>
      <w:proofErr w:type="gramStart"/>
      <w:r w:rsidRPr="00C64C8F">
        <w:rPr>
          <w:szCs w:val="26"/>
        </w:rPr>
        <w:t>кодов</w:t>
      </w:r>
      <w:r w:rsidR="00837E2F">
        <w:rPr>
          <w:szCs w:val="26"/>
        </w:rPr>
        <w:t xml:space="preserve"> классификации</w:t>
      </w:r>
      <w:r w:rsidRPr="00C64C8F">
        <w:rPr>
          <w:szCs w:val="26"/>
        </w:rPr>
        <w:t xml:space="preserve"> источников финансирования дефицита областного</w:t>
      </w:r>
      <w:proofErr w:type="gramEnd"/>
      <w:r w:rsidRPr="00C64C8F">
        <w:rPr>
          <w:szCs w:val="26"/>
        </w:rPr>
        <w:t xml:space="preserve"> бюджета, администрируемы</w:t>
      </w:r>
      <w:r w:rsidR="006E7226">
        <w:rPr>
          <w:szCs w:val="26"/>
        </w:rPr>
        <w:t>х</w:t>
      </w:r>
      <w:r w:rsidRPr="00C64C8F">
        <w:rPr>
          <w:szCs w:val="26"/>
        </w:rPr>
        <w:t xml:space="preserve"> министерством финансов Калужской области:</w:t>
      </w:r>
    </w:p>
    <w:p w:rsidR="004F3351" w:rsidRDefault="004F3351" w:rsidP="004F3351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Cs w:val="26"/>
        </w:rPr>
      </w:pPr>
    </w:p>
    <w:tbl>
      <w:tblPr>
        <w:tblW w:w="1001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221"/>
        <w:gridCol w:w="6205"/>
      </w:tblGrid>
      <w:tr w:rsidR="00837E2F" w:rsidRPr="00C64C8F" w:rsidTr="006C3896">
        <w:trPr>
          <w:trHeight w:val="660"/>
        </w:trPr>
        <w:tc>
          <w:tcPr>
            <w:tcW w:w="588" w:type="dxa"/>
            <w:vAlign w:val="center"/>
          </w:tcPr>
          <w:p w:rsidR="00837E2F" w:rsidRDefault="00837E2F" w:rsidP="00C64C8F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</w:p>
          <w:p w:rsidR="00837E2F" w:rsidRDefault="00837E2F" w:rsidP="00C64C8F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</w:t>
            </w:r>
          </w:p>
          <w:p w:rsidR="00837E2F" w:rsidRPr="004F3351" w:rsidRDefault="00837E2F" w:rsidP="00837E2F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proofErr w:type="gramStart"/>
            <w:r>
              <w:rPr>
                <w:b/>
                <w:szCs w:val="26"/>
              </w:rPr>
              <w:t>п</w:t>
            </w:r>
            <w:proofErr w:type="gramEnd"/>
            <w:r>
              <w:rPr>
                <w:b/>
                <w:szCs w:val="26"/>
              </w:rPr>
              <w:t>/п</w:t>
            </w:r>
          </w:p>
        </w:tc>
        <w:tc>
          <w:tcPr>
            <w:tcW w:w="3221" w:type="dxa"/>
            <w:vAlign w:val="center"/>
          </w:tcPr>
          <w:p w:rsidR="00837E2F" w:rsidRDefault="00837E2F" w:rsidP="00C64C8F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4F3351">
              <w:rPr>
                <w:b/>
                <w:szCs w:val="26"/>
              </w:rPr>
              <w:t xml:space="preserve">Код </w:t>
            </w:r>
            <w:r>
              <w:rPr>
                <w:b/>
                <w:szCs w:val="26"/>
              </w:rPr>
              <w:t xml:space="preserve">классификации </w:t>
            </w:r>
            <w:r w:rsidRPr="004F3351">
              <w:rPr>
                <w:b/>
                <w:szCs w:val="26"/>
              </w:rPr>
              <w:t xml:space="preserve">источника </w:t>
            </w:r>
          </w:p>
          <w:p w:rsidR="00837E2F" w:rsidRDefault="00837E2F" w:rsidP="00C64C8F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4F3351">
              <w:rPr>
                <w:b/>
                <w:szCs w:val="26"/>
              </w:rPr>
              <w:t xml:space="preserve">финансирования дефицита </w:t>
            </w:r>
          </w:p>
          <w:p w:rsidR="00837E2F" w:rsidRPr="004F3351" w:rsidRDefault="00837E2F" w:rsidP="00C64C8F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4F3351">
              <w:rPr>
                <w:b/>
                <w:szCs w:val="26"/>
              </w:rPr>
              <w:t>областного бюджета</w:t>
            </w:r>
          </w:p>
        </w:tc>
        <w:tc>
          <w:tcPr>
            <w:tcW w:w="6205" w:type="dxa"/>
            <w:vAlign w:val="center"/>
          </w:tcPr>
          <w:p w:rsidR="00837E2F" w:rsidRPr="004F3351" w:rsidRDefault="00837E2F" w:rsidP="00C64C8F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4F3351">
              <w:rPr>
                <w:b/>
                <w:szCs w:val="26"/>
              </w:rPr>
              <w:t xml:space="preserve">Наименование </w:t>
            </w:r>
            <w:proofErr w:type="gramStart"/>
            <w:r w:rsidRPr="004F3351">
              <w:rPr>
                <w:b/>
                <w:szCs w:val="26"/>
              </w:rPr>
              <w:t xml:space="preserve">кодов </w:t>
            </w:r>
            <w:r>
              <w:rPr>
                <w:b/>
                <w:szCs w:val="26"/>
              </w:rPr>
              <w:t xml:space="preserve">классификации </w:t>
            </w:r>
            <w:r w:rsidRPr="004F3351">
              <w:rPr>
                <w:b/>
                <w:szCs w:val="26"/>
              </w:rPr>
              <w:t>источника финансирования дефицита областного</w:t>
            </w:r>
            <w:proofErr w:type="gramEnd"/>
            <w:r w:rsidRPr="004F3351">
              <w:rPr>
                <w:b/>
                <w:szCs w:val="26"/>
              </w:rPr>
              <w:t xml:space="preserve"> бюджета</w:t>
            </w:r>
          </w:p>
        </w:tc>
      </w:tr>
      <w:tr w:rsidR="00837E2F" w:rsidRPr="00C64C8F" w:rsidTr="006C3896">
        <w:trPr>
          <w:trHeight w:val="645"/>
        </w:trPr>
        <w:tc>
          <w:tcPr>
            <w:tcW w:w="588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221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Cs w:val="26"/>
              </w:rPr>
            </w:pPr>
            <w:r w:rsidRPr="004F3351">
              <w:rPr>
                <w:szCs w:val="26"/>
              </w:rPr>
              <w:t>099 01 01 00 00 02 0000 710</w:t>
            </w:r>
          </w:p>
        </w:tc>
        <w:tc>
          <w:tcPr>
            <w:tcW w:w="6205" w:type="dxa"/>
          </w:tcPr>
          <w:p w:rsidR="00837E2F" w:rsidRPr="004F3351" w:rsidRDefault="00837E2F" w:rsidP="00C64C8F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F3351">
              <w:rPr>
                <w:szCs w:val="26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37E2F" w:rsidRPr="00C64C8F" w:rsidTr="006C3896">
        <w:trPr>
          <w:trHeight w:val="645"/>
        </w:trPr>
        <w:tc>
          <w:tcPr>
            <w:tcW w:w="588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221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Cs w:val="26"/>
              </w:rPr>
            </w:pPr>
            <w:r w:rsidRPr="004F3351">
              <w:rPr>
                <w:szCs w:val="26"/>
              </w:rPr>
              <w:t>099 01 02 00 00 02 0000 710</w:t>
            </w:r>
          </w:p>
        </w:tc>
        <w:tc>
          <w:tcPr>
            <w:tcW w:w="6205" w:type="dxa"/>
          </w:tcPr>
          <w:p w:rsidR="00837E2F" w:rsidRPr="004F3351" w:rsidRDefault="00837E2F" w:rsidP="00DF0CEE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4F3351">
              <w:rPr>
                <w:szCs w:val="26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837E2F" w:rsidRPr="00C64C8F" w:rsidTr="006C3896">
        <w:trPr>
          <w:trHeight w:val="720"/>
        </w:trPr>
        <w:tc>
          <w:tcPr>
            <w:tcW w:w="588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221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Cs w:val="26"/>
              </w:rPr>
            </w:pPr>
            <w:r w:rsidRPr="004F3351">
              <w:rPr>
                <w:szCs w:val="26"/>
              </w:rPr>
              <w:t>099 01 03 01 00 02 0001 710</w:t>
            </w:r>
          </w:p>
        </w:tc>
        <w:tc>
          <w:tcPr>
            <w:tcW w:w="6205" w:type="dxa"/>
          </w:tcPr>
          <w:p w:rsidR="00837E2F" w:rsidRPr="004F3351" w:rsidRDefault="00837E2F" w:rsidP="004F3351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F3351">
              <w:rPr>
                <w:szCs w:val="26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бюджетов субъектов Российской Федерации)</w:t>
            </w:r>
          </w:p>
        </w:tc>
      </w:tr>
      <w:tr w:rsidR="00837E2F" w:rsidRPr="00C64C8F" w:rsidTr="006C3896">
        <w:trPr>
          <w:trHeight w:val="70"/>
        </w:trPr>
        <w:tc>
          <w:tcPr>
            <w:tcW w:w="588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221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Cs w:val="26"/>
              </w:rPr>
            </w:pPr>
            <w:r w:rsidRPr="004F3351">
              <w:rPr>
                <w:szCs w:val="26"/>
              </w:rPr>
              <w:t>099 01 03 01 00 02 0004 710</w:t>
            </w:r>
          </w:p>
        </w:tc>
        <w:tc>
          <w:tcPr>
            <w:tcW w:w="6205" w:type="dxa"/>
          </w:tcPr>
          <w:p w:rsidR="00837E2F" w:rsidRPr="004F3351" w:rsidRDefault="00837E2F" w:rsidP="004F3351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F3351">
              <w:rPr>
                <w:szCs w:val="26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счетах бюджетов субъектов Российской Федерации)</w:t>
            </w:r>
          </w:p>
        </w:tc>
      </w:tr>
      <w:tr w:rsidR="00837E2F" w:rsidRPr="00C64C8F" w:rsidTr="006C3896">
        <w:trPr>
          <w:trHeight w:val="795"/>
        </w:trPr>
        <w:tc>
          <w:tcPr>
            <w:tcW w:w="588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221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Cs w:val="26"/>
              </w:rPr>
            </w:pPr>
            <w:r w:rsidRPr="004F3351">
              <w:rPr>
                <w:szCs w:val="26"/>
              </w:rPr>
              <w:t>099 01 06 05 02 02 0001 640</w:t>
            </w:r>
          </w:p>
        </w:tc>
        <w:tc>
          <w:tcPr>
            <w:tcW w:w="6205" w:type="dxa"/>
          </w:tcPr>
          <w:p w:rsidR="00837E2F" w:rsidRPr="004F3351" w:rsidRDefault="00837E2F" w:rsidP="004F3351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F3351">
              <w:rPr>
                <w:szCs w:val="26"/>
              </w:rPr>
              <w:t>Возврат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 (бюджетные кредиты, предоставленные для покрытия временных кассовых разрывов бюджетов муниципальных образований)</w:t>
            </w:r>
          </w:p>
        </w:tc>
      </w:tr>
      <w:tr w:rsidR="00837E2F" w:rsidRPr="00C64C8F" w:rsidTr="006C3896">
        <w:trPr>
          <w:trHeight w:val="615"/>
        </w:trPr>
        <w:tc>
          <w:tcPr>
            <w:tcW w:w="588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221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Cs w:val="26"/>
              </w:rPr>
            </w:pPr>
            <w:r w:rsidRPr="004F3351">
              <w:rPr>
                <w:szCs w:val="26"/>
              </w:rPr>
              <w:t>099 01 06 05 02 02 0002 640</w:t>
            </w:r>
          </w:p>
        </w:tc>
        <w:tc>
          <w:tcPr>
            <w:tcW w:w="6205" w:type="dxa"/>
          </w:tcPr>
          <w:p w:rsidR="00837E2F" w:rsidRPr="004F3351" w:rsidRDefault="00837E2F" w:rsidP="004F3351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F3351">
              <w:rPr>
                <w:szCs w:val="26"/>
              </w:rPr>
              <w:t xml:space="preserve">Возврат бюджетных кредитов, предоставленных другим бюджетам бюджетной системы Российской Федерации из бюджета субъекта Российской </w:t>
            </w:r>
            <w:r w:rsidRPr="004F3351">
              <w:rPr>
                <w:szCs w:val="26"/>
              </w:rPr>
              <w:lastRenderedPageBreak/>
              <w:t>Федерации в валюте Российской Федерации (бюджетные кредиты, 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значения))</w:t>
            </w:r>
          </w:p>
        </w:tc>
      </w:tr>
      <w:tr w:rsidR="00837E2F" w:rsidRPr="00C64C8F" w:rsidTr="006C3896">
        <w:trPr>
          <w:trHeight w:val="263"/>
        </w:trPr>
        <w:tc>
          <w:tcPr>
            <w:tcW w:w="588" w:type="dxa"/>
            <w:vAlign w:val="center"/>
          </w:tcPr>
          <w:p w:rsidR="00837E2F" w:rsidRPr="004F3351" w:rsidRDefault="006C3896" w:rsidP="00837E2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7</w:t>
            </w:r>
          </w:p>
        </w:tc>
        <w:tc>
          <w:tcPr>
            <w:tcW w:w="3221" w:type="dxa"/>
            <w:vAlign w:val="center"/>
          </w:tcPr>
          <w:p w:rsidR="00837E2F" w:rsidRPr="004F3351" w:rsidRDefault="00837E2F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Cs w:val="26"/>
              </w:rPr>
            </w:pPr>
            <w:r w:rsidRPr="004F3351">
              <w:rPr>
                <w:szCs w:val="26"/>
              </w:rPr>
              <w:t>099 01 06 05 02 02 0004 640</w:t>
            </w:r>
          </w:p>
        </w:tc>
        <w:tc>
          <w:tcPr>
            <w:tcW w:w="6205" w:type="dxa"/>
          </w:tcPr>
          <w:p w:rsidR="00837E2F" w:rsidRPr="004F3351" w:rsidRDefault="00837E2F" w:rsidP="004F3351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F3351">
              <w:rPr>
                <w:szCs w:val="26"/>
              </w:rPr>
              <w:t>Возврат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 (бюджетные кредиты, предоставленные для частичного покрытия дефицита бюджетов муниципальных образований)</w:t>
            </w:r>
          </w:p>
        </w:tc>
      </w:tr>
    </w:tbl>
    <w:p w:rsidR="00DF0CEE" w:rsidRDefault="00DF0CEE" w:rsidP="00DF0CEE">
      <w:pPr>
        <w:widowControl w:val="0"/>
        <w:autoSpaceDE w:val="0"/>
        <w:autoSpaceDN w:val="0"/>
        <w:jc w:val="both"/>
        <w:rPr>
          <w:szCs w:val="26"/>
        </w:rPr>
      </w:pPr>
    </w:p>
    <w:p w:rsidR="00EC3BF3" w:rsidRDefault="00EC3BF3" w:rsidP="00EC3BF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Расчет прогнозного объема поступлений по источникам финансирования дефицита областного бюджета осуществляется</w:t>
      </w:r>
      <w:r w:rsidR="00837E2F">
        <w:rPr>
          <w:szCs w:val="26"/>
        </w:rPr>
        <w:t xml:space="preserve"> на </w:t>
      </w:r>
      <w:proofErr w:type="gramStart"/>
      <w:r w:rsidR="00837E2F">
        <w:rPr>
          <w:szCs w:val="26"/>
        </w:rPr>
        <w:t>основе проверенных на</w:t>
      </w:r>
      <w:proofErr w:type="gramEnd"/>
      <w:r w:rsidR="00837E2F">
        <w:rPr>
          <w:szCs w:val="26"/>
        </w:rPr>
        <w:t xml:space="preserve"> фактических данных прошлых периодов формулах расчета</w:t>
      </w:r>
      <w:r w:rsidR="00A37CE1">
        <w:rPr>
          <w:szCs w:val="26"/>
        </w:rPr>
        <w:t>,</w:t>
      </w:r>
      <w:r w:rsidR="00837E2F">
        <w:rPr>
          <w:szCs w:val="26"/>
        </w:rPr>
        <w:t xml:space="preserve"> </w:t>
      </w:r>
      <w:r w:rsidR="003E60EF">
        <w:rPr>
          <w:szCs w:val="26"/>
        </w:rPr>
        <w:t>отдельно</w:t>
      </w:r>
      <w:r>
        <w:rPr>
          <w:szCs w:val="26"/>
        </w:rPr>
        <w:t xml:space="preserve"> </w:t>
      </w:r>
      <w:r w:rsidR="00F10A7F">
        <w:rPr>
          <w:szCs w:val="26"/>
        </w:rPr>
        <w:t xml:space="preserve">по каждому виду </w:t>
      </w:r>
      <w:r w:rsidR="00837E2F">
        <w:rPr>
          <w:szCs w:val="26"/>
        </w:rPr>
        <w:t>источников финансирования дефицита областного бюджета</w:t>
      </w:r>
      <w:r w:rsidR="00F10A7F">
        <w:rPr>
          <w:szCs w:val="26"/>
        </w:rPr>
        <w:t>.</w:t>
      </w:r>
      <w:r w:rsidR="003E60EF">
        <w:rPr>
          <w:szCs w:val="26"/>
        </w:rPr>
        <w:t xml:space="preserve"> Прогнозирование объема поступлений по источникам финансирования дефицита областного бюджета осуществляется с использованием метода прямого счета.</w:t>
      </w:r>
    </w:p>
    <w:p w:rsidR="00AC0826" w:rsidRDefault="00344402" w:rsidP="00BB5B5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Формула расчета поступлений от п</w:t>
      </w:r>
      <w:r w:rsidR="00AC0826" w:rsidRPr="00AC0826">
        <w:rPr>
          <w:szCs w:val="26"/>
        </w:rPr>
        <w:t>олучени</w:t>
      </w:r>
      <w:r>
        <w:rPr>
          <w:szCs w:val="26"/>
        </w:rPr>
        <w:t>я</w:t>
      </w:r>
      <w:r w:rsidR="00AC0826" w:rsidRPr="00AC0826">
        <w:rPr>
          <w:szCs w:val="26"/>
        </w:rPr>
        <w:t xml:space="preserve">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бюджетов субъектов Российской Федерации):</w:t>
      </w:r>
    </w:p>
    <w:p w:rsidR="001E6AC4" w:rsidRDefault="001E6AC4" w:rsidP="001E6AC4">
      <w:pPr>
        <w:widowControl w:val="0"/>
        <w:tabs>
          <w:tab w:val="left" w:pos="1134"/>
        </w:tabs>
        <w:autoSpaceDE w:val="0"/>
        <w:autoSpaceDN w:val="0"/>
        <w:jc w:val="both"/>
        <w:rPr>
          <w:szCs w:val="26"/>
        </w:rPr>
      </w:pPr>
    </w:p>
    <w:p w:rsidR="001E6AC4" w:rsidRDefault="001E6AC4" w:rsidP="001E6AC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б</w:t>
      </w:r>
      <w:r w:rsidRPr="00FB3EFE">
        <w:rPr>
          <w:szCs w:val="26"/>
          <w:vertAlign w:val="subscript"/>
        </w:rPr>
        <w:t>к</w:t>
      </w:r>
      <w:proofErr w:type="spell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= </w:t>
      </w: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фз</w:t>
      </w:r>
      <w:proofErr w:type="spellEnd"/>
      <w:r>
        <w:rPr>
          <w:szCs w:val="26"/>
        </w:rPr>
        <w:t>, где:</w:t>
      </w:r>
    </w:p>
    <w:p w:rsidR="001E6AC4" w:rsidRDefault="001E6AC4" w:rsidP="001E6AC4">
      <w:pPr>
        <w:widowControl w:val="0"/>
        <w:tabs>
          <w:tab w:val="left" w:pos="1134"/>
        </w:tabs>
        <w:autoSpaceDE w:val="0"/>
        <w:autoSpaceDN w:val="0"/>
        <w:jc w:val="both"/>
        <w:rPr>
          <w:szCs w:val="26"/>
        </w:rPr>
      </w:pPr>
    </w:p>
    <w:p w:rsidR="001E6AC4" w:rsidRDefault="001E6AC4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>
        <w:rPr>
          <w:lang w:val="en-US"/>
        </w:rPr>
        <w:t>V</w:t>
      </w:r>
      <w:proofErr w:type="spellStart"/>
      <w:r>
        <w:rPr>
          <w:szCs w:val="26"/>
          <w:vertAlign w:val="subscript"/>
        </w:rPr>
        <w:t>б</w:t>
      </w:r>
      <w:r w:rsidRPr="00FB3EFE">
        <w:rPr>
          <w:szCs w:val="26"/>
          <w:vertAlign w:val="subscript"/>
        </w:rPr>
        <w:t>к</w:t>
      </w:r>
      <w:proofErr w:type="spell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– </w:t>
      </w:r>
      <w:r>
        <w:t>прогнозируемый объем поступлений бюджетных кредитов из федерального бюджета;</w:t>
      </w:r>
    </w:p>
    <w:p w:rsidR="001E6AC4" w:rsidRDefault="001E6AC4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proofErr w:type="gramStart"/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фз</w:t>
      </w:r>
      <w:proofErr w:type="spell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– одобренный </w:t>
      </w:r>
      <w:r>
        <w:t>объем предоставления бюджетных кредитов из федерального бюджета областному бюджету Калужской области на очередной финансовый год.</w:t>
      </w:r>
      <w:proofErr w:type="gramEnd"/>
      <w:r>
        <w:t xml:space="preserve"> </w:t>
      </w:r>
    </w:p>
    <w:p w:rsidR="00273DCF" w:rsidRDefault="00344402" w:rsidP="00BB5B5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Формула расчета поступлений от п</w:t>
      </w:r>
      <w:r w:rsidR="001E6AC4">
        <w:rPr>
          <w:szCs w:val="26"/>
        </w:rPr>
        <w:t>олучени</w:t>
      </w:r>
      <w:r>
        <w:rPr>
          <w:szCs w:val="26"/>
        </w:rPr>
        <w:t>я</w:t>
      </w:r>
      <w:r w:rsidR="001E6AC4">
        <w:rPr>
          <w:szCs w:val="26"/>
        </w:rPr>
        <w:t xml:space="preserve"> </w:t>
      </w:r>
      <w:r w:rsidR="001E6AC4" w:rsidRPr="004F3351">
        <w:rPr>
          <w:szCs w:val="26"/>
        </w:rPr>
        <w:t>кредитов от других бюджетов бюджетной системы Российской Федерации бюджетами субъектов Российской Федерации в валюте Российской Федерации</w:t>
      </w:r>
      <w:r w:rsidR="001E6AC4">
        <w:rPr>
          <w:szCs w:val="26"/>
        </w:rPr>
        <w:t xml:space="preserve"> (</w:t>
      </w:r>
      <w:r w:rsidR="001E6AC4" w:rsidRPr="004F3351">
        <w:rPr>
          <w:szCs w:val="26"/>
        </w:rPr>
        <w:t>бюджетные кредиты на пополнение остатков средств на счетах бюджетов субъектов Российской Федерации)</w:t>
      </w:r>
      <w:r w:rsidR="001E6AC4">
        <w:rPr>
          <w:szCs w:val="26"/>
        </w:rPr>
        <w:t>:</w:t>
      </w:r>
    </w:p>
    <w:p w:rsidR="00AC0826" w:rsidRDefault="00AC0826" w:rsidP="00AC0826">
      <w:pPr>
        <w:widowControl w:val="0"/>
        <w:tabs>
          <w:tab w:val="left" w:pos="1134"/>
        </w:tabs>
        <w:autoSpaceDE w:val="0"/>
        <w:autoSpaceDN w:val="0"/>
        <w:jc w:val="both"/>
        <w:rPr>
          <w:szCs w:val="26"/>
        </w:rPr>
      </w:pPr>
    </w:p>
    <w:p w:rsidR="001E6AC4" w:rsidRPr="006E7226" w:rsidRDefault="001E6AC4" w:rsidP="001E6AC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б</w:t>
      </w:r>
      <w:r w:rsidRPr="00FB3EFE">
        <w:rPr>
          <w:szCs w:val="26"/>
          <w:vertAlign w:val="subscript"/>
        </w:rPr>
        <w:t>к</w:t>
      </w:r>
      <w:r>
        <w:rPr>
          <w:szCs w:val="26"/>
          <w:vertAlign w:val="subscript"/>
        </w:rPr>
        <w:t>п</w:t>
      </w:r>
      <w:proofErr w:type="spellEnd"/>
      <w:r>
        <w:rPr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6E7226">
        <w:rPr>
          <w:sz w:val="28"/>
          <w:szCs w:val="28"/>
        </w:rPr>
        <w:t xml:space="preserve"> </w:t>
      </w:r>
      <w:r>
        <w:rPr>
          <w:szCs w:val="26"/>
          <w:lang w:val="en-US"/>
        </w:rPr>
        <w:t>x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Д</w:t>
      </w:r>
      <w:r>
        <w:rPr>
          <w:szCs w:val="26"/>
          <w:vertAlign w:val="subscript"/>
        </w:rPr>
        <w:t>нн</w:t>
      </w:r>
      <w:proofErr w:type="spellEnd"/>
      <w:r>
        <w:rPr>
          <w:szCs w:val="26"/>
        </w:rPr>
        <w:t>, где:</w:t>
      </w:r>
      <w:r w:rsidRPr="006E7226">
        <w:rPr>
          <w:szCs w:val="26"/>
        </w:rPr>
        <w:t xml:space="preserve"> </w:t>
      </w:r>
    </w:p>
    <w:p w:rsidR="001E6AC4" w:rsidRPr="005423EF" w:rsidRDefault="001E6AC4" w:rsidP="001E6AC4">
      <w:pPr>
        <w:widowControl w:val="0"/>
        <w:tabs>
          <w:tab w:val="left" w:pos="1418"/>
        </w:tabs>
        <w:autoSpaceDE w:val="0"/>
        <w:autoSpaceDN w:val="0"/>
        <w:jc w:val="both"/>
        <w:rPr>
          <w:szCs w:val="26"/>
        </w:rPr>
      </w:pPr>
    </w:p>
    <w:p w:rsidR="001E6AC4" w:rsidRPr="00B91632" w:rsidRDefault="001E6AC4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б</w:t>
      </w:r>
      <w:r w:rsidRPr="00FB3EFE">
        <w:rPr>
          <w:szCs w:val="26"/>
          <w:vertAlign w:val="subscript"/>
        </w:rPr>
        <w:t>к</w:t>
      </w:r>
      <w:r>
        <w:rPr>
          <w:szCs w:val="26"/>
          <w:vertAlign w:val="subscript"/>
        </w:rPr>
        <w:t>п</w:t>
      </w:r>
      <w:proofErr w:type="spellEnd"/>
      <w:r>
        <w:rPr>
          <w:szCs w:val="26"/>
        </w:rPr>
        <w:t xml:space="preserve"> – </w:t>
      </w:r>
      <w:r>
        <w:t xml:space="preserve">прогнозируемый объем поступлений бюджетных кредитов </w:t>
      </w:r>
      <w:r w:rsidRPr="004F3351">
        <w:rPr>
          <w:szCs w:val="26"/>
        </w:rPr>
        <w:t>на пополнение остатков средств на счетах бюджетов субъектов Российской Федерации</w:t>
      </w:r>
      <w:r>
        <w:rPr>
          <w:szCs w:val="26"/>
        </w:rPr>
        <w:t>;</w:t>
      </w:r>
    </w:p>
    <w:p w:rsidR="001E6AC4" w:rsidRDefault="001E6AC4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proofErr w:type="spellStart"/>
      <w:r>
        <w:rPr>
          <w:szCs w:val="26"/>
        </w:rPr>
        <w:t>Д</w:t>
      </w:r>
      <w:r>
        <w:rPr>
          <w:szCs w:val="26"/>
          <w:vertAlign w:val="subscript"/>
        </w:rPr>
        <w:t>нн</w:t>
      </w:r>
      <w:proofErr w:type="spellEnd"/>
      <w:r>
        <w:rPr>
          <w:szCs w:val="26"/>
        </w:rPr>
        <w:t xml:space="preserve"> – объем доходов</w:t>
      </w:r>
      <w:r w:rsidRPr="00CA1C26">
        <w:t xml:space="preserve"> </w:t>
      </w:r>
      <w:proofErr w:type="gramStart"/>
      <w:r>
        <w:t>областного</w:t>
      </w:r>
      <w:proofErr w:type="gramEnd"/>
      <w:r>
        <w:t xml:space="preserve"> </w:t>
      </w:r>
      <w:r w:rsidRPr="00CA1C26">
        <w:t>бюджета Калужской области, за исключением субсидий, субвенций и иных межбюджетных трансфертов, имеющих целевое назначение</w:t>
      </w:r>
      <w:r>
        <w:t xml:space="preserve"> на соответствующий финансовый год.</w:t>
      </w:r>
    </w:p>
    <w:p w:rsidR="003E60EF" w:rsidRDefault="000A7619" w:rsidP="00BB5B5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 xml:space="preserve">Прогнозируемый объем поступлений от осуществления рыночных заимствований (осуществление заимствований путем выпуска </w:t>
      </w:r>
      <w:r w:rsidRPr="004F3351">
        <w:rPr>
          <w:szCs w:val="26"/>
        </w:rPr>
        <w:t>государственных ценных бумаг субъектов Российской Федерации, номинальная стоимость которых указана в валюте Российской Федерации</w:t>
      </w:r>
      <w:r>
        <w:rPr>
          <w:szCs w:val="26"/>
        </w:rPr>
        <w:t>, п</w:t>
      </w:r>
      <w:r w:rsidRPr="004F3351">
        <w:rPr>
          <w:szCs w:val="26"/>
        </w:rPr>
        <w:t>олучение кредитов от кредитных организаций бюджетами субъектов Российской Федерации в валюте Российской Федерации</w:t>
      </w:r>
      <w:r>
        <w:rPr>
          <w:szCs w:val="26"/>
        </w:rPr>
        <w:t>).</w:t>
      </w:r>
    </w:p>
    <w:p w:rsidR="000A7619" w:rsidRDefault="000A7619" w:rsidP="000A7619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>Для расчета прогнозируемого объема поступлений от осуществления рыночных заимствований учитываются:</w:t>
      </w:r>
    </w:p>
    <w:p w:rsidR="000A7619" w:rsidRDefault="000A7619" w:rsidP="000A761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 w:rsidRPr="000A7619">
        <w:rPr>
          <w:szCs w:val="26"/>
        </w:rPr>
        <w:lastRenderedPageBreak/>
        <w:t>прогнозируемый объем государственных</w:t>
      </w:r>
      <w:r w:rsidRPr="000B779E">
        <w:t xml:space="preserve"> </w:t>
      </w:r>
      <w:r>
        <w:t>внутренних</w:t>
      </w:r>
      <w:r w:rsidRPr="000A7619">
        <w:rPr>
          <w:szCs w:val="26"/>
        </w:rPr>
        <w:t xml:space="preserve"> заимствований на соответствующий финансовый год;</w:t>
      </w:r>
    </w:p>
    <w:p w:rsidR="000A7619" w:rsidRDefault="000A7619" w:rsidP="000A761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 w:rsidRPr="000A7619">
        <w:rPr>
          <w:szCs w:val="26"/>
        </w:rPr>
        <w:t>одобренная постановлением Правительства Калужской области долговая политика Калужской области на соответствующий финансовый год и плановый период;</w:t>
      </w:r>
    </w:p>
    <w:p w:rsidR="000A7619" w:rsidRDefault="000A7619" w:rsidP="000A761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установленные</w:t>
      </w:r>
      <w:r w:rsidR="001F3F04">
        <w:rPr>
          <w:szCs w:val="26"/>
        </w:rPr>
        <w:t xml:space="preserve"> </w:t>
      </w:r>
      <w:r>
        <w:rPr>
          <w:szCs w:val="26"/>
        </w:rPr>
        <w:t>соглашениями о предоставлении бюджету Калужской области из федерального бюджета бюджетных кредитов для частичного покрытия дефицита бюджета Калужской области</w:t>
      </w:r>
      <w:r w:rsidR="004549AB">
        <w:rPr>
          <w:szCs w:val="26"/>
        </w:rPr>
        <w:t xml:space="preserve"> ограничения</w:t>
      </w:r>
      <w:r>
        <w:rPr>
          <w:szCs w:val="26"/>
        </w:rPr>
        <w:t>;</w:t>
      </w:r>
    </w:p>
    <w:p w:rsidR="004549AB" w:rsidRDefault="007370A9" w:rsidP="00AC082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 w:rsidRPr="004549AB">
        <w:rPr>
          <w:szCs w:val="26"/>
        </w:rPr>
        <w:t xml:space="preserve">коэффициент </w:t>
      </w:r>
      <w:r w:rsidR="004549AB" w:rsidRPr="004549AB">
        <w:rPr>
          <w:szCs w:val="26"/>
        </w:rPr>
        <w:t>размещения ценных бумаг</w:t>
      </w:r>
      <w:r w:rsidR="005F2511">
        <w:rPr>
          <w:szCs w:val="26"/>
        </w:rPr>
        <w:t xml:space="preserve"> (</w:t>
      </w:r>
      <w:proofErr w:type="spellStart"/>
      <w:r w:rsidR="005F2511">
        <w:t>К</w:t>
      </w:r>
      <w:r w:rsidR="005F2511">
        <w:rPr>
          <w:vertAlign w:val="subscript"/>
        </w:rPr>
        <w:t>цб</w:t>
      </w:r>
      <w:proofErr w:type="spellEnd"/>
      <w:r w:rsidR="005F2511">
        <w:rPr>
          <w:szCs w:val="26"/>
        </w:rPr>
        <w:t>)</w:t>
      </w:r>
      <w:r w:rsidR="004549AB" w:rsidRPr="004549AB">
        <w:rPr>
          <w:szCs w:val="26"/>
        </w:rPr>
        <w:t xml:space="preserve">. Определяется исходя из конъюнктуры  </w:t>
      </w:r>
      <w:r w:rsidRPr="004549AB">
        <w:rPr>
          <w:szCs w:val="26"/>
        </w:rPr>
        <w:t>фондового рынка</w:t>
      </w:r>
      <w:r w:rsidR="004549AB" w:rsidRPr="004549AB">
        <w:rPr>
          <w:szCs w:val="26"/>
        </w:rPr>
        <w:t xml:space="preserve"> и срока осуществления эмиссии государственных ценных бумаг Калу</w:t>
      </w:r>
      <w:r w:rsidR="004549AB">
        <w:rPr>
          <w:szCs w:val="26"/>
        </w:rPr>
        <w:t>жской области;</w:t>
      </w:r>
    </w:p>
    <w:p w:rsidR="00931B67" w:rsidRDefault="004549AB" w:rsidP="00AC082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к</w:t>
      </w:r>
      <w:r w:rsidR="007370A9" w:rsidRPr="004549AB">
        <w:rPr>
          <w:szCs w:val="26"/>
        </w:rPr>
        <w:t xml:space="preserve">оэффициент </w:t>
      </w:r>
      <w:r>
        <w:rPr>
          <w:szCs w:val="26"/>
        </w:rPr>
        <w:t>привлечения кредитов от кредитных организаций</w:t>
      </w:r>
      <w:r w:rsidR="005F2511">
        <w:rPr>
          <w:szCs w:val="26"/>
        </w:rPr>
        <w:t xml:space="preserve"> (</w:t>
      </w:r>
      <w:proofErr w:type="spellStart"/>
      <w:r w:rsidR="005F2511">
        <w:rPr>
          <w:szCs w:val="26"/>
        </w:rPr>
        <w:t>К</w:t>
      </w:r>
      <w:r w:rsidR="005F2511">
        <w:rPr>
          <w:szCs w:val="26"/>
          <w:vertAlign w:val="subscript"/>
        </w:rPr>
        <w:t>кк</w:t>
      </w:r>
      <w:proofErr w:type="spellEnd"/>
      <w:r w:rsidR="005F2511">
        <w:rPr>
          <w:szCs w:val="26"/>
        </w:rPr>
        <w:t>)</w:t>
      </w:r>
      <w:r w:rsidR="007370A9" w:rsidRPr="004549AB">
        <w:rPr>
          <w:szCs w:val="26"/>
        </w:rPr>
        <w:t>.</w:t>
      </w:r>
      <w:r>
        <w:rPr>
          <w:szCs w:val="26"/>
        </w:rPr>
        <w:t xml:space="preserve"> Определяется </w:t>
      </w:r>
      <w:r w:rsidRPr="004549AB">
        <w:rPr>
          <w:szCs w:val="26"/>
        </w:rPr>
        <w:t xml:space="preserve">исходя из конъюнктуры </w:t>
      </w:r>
      <w:r>
        <w:rPr>
          <w:szCs w:val="26"/>
        </w:rPr>
        <w:t>рынка кредитования</w:t>
      </w:r>
      <w:r w:rsidRPr="004549AB">
        <w:rPr>
          <w:szCs w:val="26"/>
        </w:rPr>
        <w:t xml:space="preserve"> и срока </w:t>
      </w:r>
      <w:r>
        <w:rPr>
          <w:szCs w:val="26"/>
        </w:rPr>
        <w:t>привлечения к</w:t>
      </w:r>
      <w:r w:rsidR="00931B67">
        <w:rPr>
          <w:szCs w:val="26"/>
        </w:rPr>
        <w:t>редитов от кредитных организаций;</w:t>
      </w:r>
      <w:r w:rsidRPr="004549AB">
        <w:rPr>
          <w:szCs w:val="26"/>
        </w:rPr>
        <w:t xml:space="preserve"> </w:t>
      </w:r>
    </w:p>
    <w:p w:rsidR="00AC0826" w:rsidRPr="004549AB" w:rsidRDefault="00931B67" w:rsidP="00AC082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с</w:t>
      </w:r>
      <w:r w:rsidR="007370A9" w:rsidRPr="004549AB">
        <w:rPr>
          <w:szCs w:val="26"/>
        </w:rPr>
        <w:t>уммарный ра</w:t>
      </w:r>
      <w:r>
        <w:rPr>
          <w:szCs w:val="26"/>
        </w:rPr>
        <w:t>змер коэффициентов составляет 1</w:t>
      </w:r>
      <w:r w:rsidR="005F2511">
        <w:rPr>
          <w:szCs w:val="26"/>
        </w:rPr>
        <w:t xml:space="preserve"> (</w:t>
      </w:r>
      <w:proofErr w:type="spellStart"/>
      <w:r w:rsidR="005F2511">
        <w:t>К</w:t>
      </w:r>
      <w:r w:rsidR="005F2511">
        <w:rPr>
          <w:vertAlign w:val="subscript"/>
        </w:rPr>
        <w:t>цб</w:t>
      </w:r>
      <w:proofErr w:type="spellEnd"/>
      <w:r w:rsidR="005F2511">
        <w:rPr>
          <w:vertAlign w:val="subscript"/>
        </w:rPr>
        <w:t xml:space="preserve"> </w:t>
      </w:r>
      <w:r w:rsidR="005F2511" w:rsidRPr="005F2511">
        <w:t>+</w:t>
      </w:r>
      <w:r w:rsidR="005F2511">
        <w:rPr>
          <w:vertAlign w:val="subscript"/>
        </w:rPr>
        <w:t xml:space="preserve"> </w:t>
      </w:r>
      <w:proofErr w:type="spellStart"/>
      <w:r w:rsidR="005F2511">
        <w:rPr>
          <w:szCs w:val="26"/>
        </w:rPr>
        <w:t>К</w:t>
      </w:r>
      <w:r w:rsidR="005F2511">
        <w:rPr>
          <w:szCs w:val="26"/>
          <w:vertAlign w:val="subscript"/>
        </w:rPr>
        <w:t>кк</w:t>
      </w:r>
      <w:proofErr w:type="spellEnd"/>
      <w:r w:rsidR="005F2511">
        <w:rPr>
          <w:szCs w:val="26"/>
          <w:vertAlign w:val="subscript"/>
        </w:rPr>
        <w:t xml:space="preserve"> </w:t>
      </w:r>
      <w:r w:rsidR="005F2511" w:rsidRPr="005F2511">
        <w:rPr>
          <w:szCs w:val="26"/>
        </w:rPr>
        <w:t>= 1</w:t>
      </w:r>
      <w:r w:rsidR="005F2511">
        <w:rPr>
          <w:szCs w:val="26"/>
        </w:rPr>
        <w:t>)</w:t>
      </w:r>
      <w:r>
        <w:rPr>
          <w:szCs w:val="26"/>
        </w:rPr>
        <w:t>;</w:t>
      </w:r>
    </w:p>
    <w:p w:rsidR="003E11F7" w:rsidRDefault="003E11F7" w:rsidP="000A761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порядок осуще</w:t>
      </w:r>
      <w:r w:rsidR="00AC0826">
        <w:rPr>
          <w:szCs w:val="26"/>
        </w:rPr>
        <w:t>ствления рыночных заимствований.</w:t>
      </w:r>
    </w:p>
    <w:p w:rsidR="000A7619" w:rsidRDefault="003E11F7" w:rsidP="003E11F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>Расчет прогнозного объема поступлений от осуществления рыночных заимствований осуществляется отдельно по каждому виду:</w:t>
      </w:r>
    </w:p>
    <w:p w:rsidR="00B11520" w:rsidRDefault="00344402" w:rsidP="003E11F7">
      <w:pPr>
        <w:pStyle w:val="a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Формула расчета поступлений от р</w:t>
      </w:r>
      <w:r w:rsidR="00B11520" w:rsidRPr="003E11F7">
        <w:rPr>
          <w:szCs w:val="26"/>
        </w:rPr>
        <w:t>азмещени</w:t>
      </w:r>
      <w:r>
        <w:rPr>
          <w:szCs w:val="26"/>
        </w:rPr>
        <w:t>я</w:t>
      </w:r>
      <w:r w:rsidR="00B11520" w:rsidRPr="003E11F7">
        <w:rPr>
          <w:szCs w:val="26"/>
        </w:rPr>
        <w:t xml:space="preserve"> государственных ценных бумаг субъектов Российской Федерации, номинальная стоимость которых указана в валюте Российской Федерации:</w:t>
      </w:r>
    </w:p>
    <w:p w:rsidR="00AC0826" w:rsidRDefault="00AC0826" w:rsidP="00AC0826">
      <w:pPr>
        <w:widowControl w:val="0"/>
        <w:tabs>
          <w:tab w:val="left" w:pos="1134"/>
        </w:tabs>
        <w:autoSpaceDE w:val="0"/>
        <w:autoSpaceDN w:val="0"/>
        <w:jc w:val="both"/>
        <w:rPr>
          <w:szCs w:val="26"/>
        </w:rPr>
      </w:pPr>
    </w:p>
    <w:p w:rsidR="00AC0826" w:rsidRPr="00EC3BF3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цб</w:t>
      </w:r>
      <w:proofErr w:type="spell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= </w:t>
      </w:r>
      <w:r>
        <w:rPr>
          <w:szCs w:val="26"/>
          <w:lang w:val="en-US"/>
        </w:rPr>
        <w:t>V</w:t>
      </w:r>
      <w:proofErr w:type="spellStart"/>
      <w:r w:rsidR="001E6AC4">
        <w:rPr>
          <w:szCs w:val="26"/>
          <w:vertAlign w:val="subscript"/>
        </w:rPr>
        <w:t>рз</w:t>
      </w:r>
      <w:proofErr w:type="spellEnd"/>
      <w:r w:rsidRPr="00EC3BF3">
        <w:rPr>
          <w:szCs w:val="26"/>
          <w:vertAlign w:val="subscript"/>
        </w:rPr>
        <w:t xml:space="preserve"> </w:t>
      </w:r>
      <w:r>
        <w:rPr>
          <w:szCs w:val="26"/>
          <w:lang w:val="en-US"/>
        </w:rPr>
        <w:t>x</w:t>
      </w:r>
      <w:r w:rsidRPr="00EC3BF3">
        <w:rPr>
          <w:szCs w:val="26"/>
        </w:rPr>
        <w:t xml:space="preserve"> </w:t>
      </w:r>
      <w:proofErr w:type="spellStart"/>
      <w:r>
        <w:rPr>
          <w:szCs w:val="26"/>
        </w:rPr>
        <w:t>К</w:t>
      </w:r>
      <w:r w:rsidRPr="00EC3BF3">
        <w:rPr>
          <w:szCs w:val="26"/>
          <w:vertAlign w:val="subscript"/>
        </w:rPr>
        <w:t>цб</w:t>
      </w:r>
      <w:proofErr w:type="spellEnd"/>
      <w:r>
        <w:rPr>
          <w:szCs w:val="26"/>
        </w:rPr>
        <w:t>, где:</w:t>
      </w:r>
    </w:p>
    <w:p w:rsidR="00AC0826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</w:p>
    <w:p w:rsidR="00AC0826" w:rsidRPr="00DC156F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rPr>
          <w:lang w:val="en-US"/>
        </w:rPr>
        <w:t>V</w:t>
      </w:r>
      <w:proofErr w:type="spellStart"/>
      <w:r>
        <w:rPr>
          <w:vertAlign w:val="subscript"/>
        </w:rPr>
        <w:t>цб</w:t>
      </w:r>
      <w:proofErr w:type="spellEnd"/>
      <w:r>
        <w:t xml:space="preserve"> – прогнозируемый объем поступлений от размещения государственных ценных бумаг Калужской области;</w:t>
      </w:r>
    </w:p>
    <w:p w:rsidR="00AC0826" w:rsidRDefault="001E6AC4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рз</w:t>
      </w:r>
      <w:proofErr w:type="spellEnd"/>
      <w:r w:rsidR="00AC0826">
        <w:rPr>
          <w:vertAlign w:val="subscript"/>
        </w:rPr>
        <w:t xml:space="preserve"> </w:t>
      </w:r>
      <w:r w:rsidR="00AC0826">
        <w:rPr>
          <w:szCs w:val="26"/>
        </w:rPr>
        <w:t xml:space="preserve">– прогнозируемый объем </w:t>
      </w:r>
      <w:r>
        <w:rPr>
          <w:szCs w:val="26"/>
        </w:rPr>
        <w:t xml:space="preserve">рыночных </w:t>
      </w:r>
      <w:r w:rsidR="00AC0826">
        <w:rPr>
          <w:szCs w:val="26"/>
        </w:rPr>
        <w:t>заимствований на соответствующий финансовый год, определяется по следующей формуле:</w:t>
      </w:r>
    </w:p>
    <w:p w:rsidR="00AC0826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</w:p>
    <w:p w:rsidR="00AC0826" w:rsidRDefault="001E6AC4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vertAlign w:val="subscript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рз</w:t>
      </w:r>
      <w:proofErr w:type="spellEnd"/>
      <w:r w:rsidR="00AC0826" w:rsidRPr="00BA7D06">
        <w:t xml:space="preserve"> = </w:t>
      </w:r>
      <w:r w:rsidR="00AC0826">
        <w:t xml:space="preserve">Д + </w:t>
      </w:r>
      <w:r w:rsidR="00AC0826">
        <w:rPr>
          <w:lang w:val="en-US"/>
        </w:rPr>
        <w:t>V</w:t>
      </w:r>
      <w:proofErr w:type="spellStart"/>
      <w:r w:rsidR="00AC0826">
        <w:rPr>
          <w:vertAlign w:val="subscript"/>
        </w:rPr>
        <w:t>пог</w:t>
      </w:r>
      <w:proofErr w:type="spellEnd"/>
      <w:r w:rsidR="00AC0826" w:rsidRPr="00BA7D06">
        <w:t xml:space="preserve"> </w:t>
      </w:r>
      <w:r w:rsidR="00273DCF" w:rsidRPr="00BA7D06">
        <w:t>–</w:t>
      </w:r>
      <w:r w:rsidR="00273DCF">
        <w:t xml:space="preserve"> </w:t>
      </w:r>
      <w:r w:rsidR="00273DCF">
        <w:rPr>
          <w:szCs w:val="26"/>
          <w:lang w:val="en-US"/>
        </w:rPr>
        <w:t>V</w:t>
      </w:r>
      <w:proofErr w:type="spellStart"/>
      <w:r w:rsidR="00273DCF">
        <w:rPr>
          <w:szCs w:val="26"/>
          <w:vertAlign w:val="subscript"/>
        </w:rPr>
        <w:t>б</w:t>
      </w:r>
      <w:r w:rsidR="00273DCF" w:rsidRPr="00FB3EFE">
        <w:rPr>
          <w:szCs w:val="26"/>
          <w:vertAlign w:val="subscript"/>
        </w:rPr>
        <w:t>к</w:t>
      </w:r>
      <w:proofErr w:type="spellEnd"/>
      <w:r w:rsidR="00273DCF" w:rsidRPr="00BA7D06">
        <w:t xml:space="preserve"> </w:t>
      </w:r>
      <w:r w:rsidR="00AC0826" w:rsidRPr="00BA7D06">
        <w:t xml:space="preserve">– </w:t>
      </w:r>
      <w:r w:rsidR="00AC0826">
        <w:t>И</w:t>
      </w:r>
      <w:r w:rsidR="00AC0826">
        <w:rPr>
          <w:vertAlign w:val="subscript"/>
        </w:rPr>
        <w:t xml:space="preserve">пр </w:t>
      </w:r>
      <w:r w:rsidR="00AC0826" w:rsidRPr="00BA7D06">
        <w:t>–</w:t>
      </w:r>
      <w:r w:rsidR="00AC0826">
        <w:t xml:space="preserve"> О, где:</w:t>
      </w:r>
    </w:p>
    <w:p w:rsidR="00AC0826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vertAlign w:val="subscript"/>
        </w:rPr>
      </w:pPr>
    </w:p>
    <w:p w:rsidR="00AC0826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>Д – прогнозируемый объем дефицита областного бюджета на соответствующий финансовый год;</w:t>
      </w:r>
    </w:p>
    <w:p w:rsidR="00AC0826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пог</w:t>
      </w:r>
      <w:proofErr w:type="spellEnd"/>
      <w:r>
        <w:rPr>
          <w:szCs w:val="26"/>
          <w:vertAlign w:val="subscript"/>
        </w:rPr>
        <w:t xml:space="preserve"> </w:t>
      </w:r>
      <w:r w:rsidRPr="00BA7D06">
        <w:t>–</w:t>
      </w:r>
      <w:r>
        <w:t xml:space="preserve"> объем государственных заимствований, подлежащих погашению в очередном финансовом году в соответствии с действующими долговыми обязательствами;</w:t>
      </w:r>
    </w:p>
    <w:p w:rsidR="00273DCF" w:rsidRDefault="00273DCF" w:rsidP="00273DCF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>
        <w:rPr>
          <w:lang w:val="en-US"/>
        </w:rPr>
        <w:t>V</w:t>
      </w:r>
      <w:proofErr w:type="spellStart"/>
      <w:r>
        <w:rPr>
          <w:szCs w:val="26"/>
          <w:vertAlign w:val="subscript"/>
        </w:rPr>
        <w:t>б</w:t>
      </w:r>
      <w:r w:rsidRPr="00FB3EFE">
        <w:rPr>
          <w:szCs w:val="26"/>
          <w:vertAlign w:val="subscript"/>
        </w:rPr>
        <w:t>к</w:t>
      </w:r>
      <w:proofErr w:type="spell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– </w:t>
      </w:r>
      <w:r>
        <w:t>прогнозируемый объем поступлений бюджетных кредитов из федерального бюджета</w:t>
      </w:r>
      <w:r w:rsidR="001E6AC4">
        <w:t xml:space="preserve"> на очередной финансовый год</w:t>
      </w:r>
      <w:r>
        <w:t>;</w:t>
      </w:r>
    </w:p>
    <w:p w:rsidR="00AC0826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>И</w:t>
      </w:r>
      <w:r>
        <w:rPr>
          <w:szCs w:val="26"/>
          <w:vertAlign w:val="subscript"/>
        </w:rPr>
        <w:t>пр</w:t>
      </w:r>
      <w:proofErr w:type="gramStart"/>
      <w:r>
        <w:rPr>
          <w:szCs w:val="26"/>
          <w:vertAlign w:val="subscript"/>
        </w:rPr>
        <w:t>.</w:t>
      </w:r>
      <w:proofErr w:type="gram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– </w:t>
      </w:r>
      <w:proofErr w:type="gramStart"/>
      <w:r>
        <w:rPr>
          <w:szCs w:val="26"/>
        </w:rPr>
        <w:t>п</w:t>
      </w:r>
      <w:proofErr w:type="gramEnd"/>
      <w:r>
        <w:rPr>
          <w:szCs w:val="26"/>
        </w:rPr>
        <w:t>рогнозируемый объем прочих источников финансирования дефицита областного бюджета на соответствующий финансовый год;</w:t>
      </w:r>
    </w:p>
    <w:p w:rsidR="00AC0826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rPr>
          <w:szCs w:val="26"/>
        </w:rPr>
        <w:t xml:space="preserve">О </w:t>
      </w:r>
      <w:r>
        <w:t xml:space="preserve">– прогнозируемый объем остатков средств на счетах бюджета на начало соответствующего финансового года. </w:t>
      </w:r>
    </w:p>
    <w:p w:rsidR="00AC0826" w:rsidRPr="00BA0FF9" w:rsidRDefault="00AC0826" w:rsidP="00AC082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proofErr w:type="spellStart"/>
      <w:r>
        <w:t>К</w:t>
      </w:r>
      <w:r>
        <w:rPr>
          <w:vertAlign w:val="subscript"/>
        </w:rPr>
        <w:t>цб</w:t>
      </w:r>
      <w:proofErr w:type="spellEnd"/>
      <w:r>
        <w:t xml:space="preserve"> </w:t>
      </w:r>
      <w:r w:rsidRPr="00BA7D06">
        <w:t>–</w:t>
      </w:r>
      <w:r>
        <w:t xml:space="preserve"> </w:t>
      </w:r>
      <w:r w:rsidR="00931B67" w:rsidRPr="004549AB">
        <w:rPr>
          <w:szCs w:val="26"/>
        </w:rPr>
        <w:t>коэффициент размещения ценных бумаг</w:t>
      </w:r>
      <w:r>
        <w:t>.</w:t>
      </w:r>
    </w:p>
    <w:p w:rsidR="00AC0826" w:rsidRPr="00AC0826" w:rsidRDefault="00344402" w:rsidP="00AC0826">
      <w:pPr>
        <w:pStyle w:val="aa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ind w:left="0" w:firstLine="709"/>
        <w:jc w:val="both"/>
        <w:rPr>
          <w:szCs w:val="26"/>
        </w:rPr>
      </w:pPr>
      <w:r>
        <w:rPr>
          <w:szCs w:val="26"/>
        </w:rPr>
        <w:t>Формула расчета поступлений от п</w:t>
      </w:r>
      <w:r w:rsidR="00AC0826" w:rsidRPr="00AC0826">
        <w:rPr>
          <w:szCs w:val="26"/>
        </w:rPr>
        <w:t>олучени</w:t>
      </w:r>
      <w:r>
        <w:rPr>
          <w:szCs w:val="26"/>
        </w:rPr>
        <w:t>я</w:t>
      </w:r>
      <w:r w:rsidR="00AC0826" w:rsidRPr="00AC0826">
        <w:rPr>
          <w:szCs w:val="26"/>
        </w:rPr>
        <w:t xml:space="preserve"> кредитов от кредитных организаций бюджетами субъектов Российской Федерации в валюте Российской Федерации:</w:t>
      </w:r>
    </w:p>
    <w:p w:rsidR="00722C1A" w:rsidRDefault="00722C1A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</w:p>
    <w:p w:rsidR="00BA0FF9" w:rsidRDefault="00BA0FF9" w:rsidP="00BA0F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кк</w:t>
      </w:r>
      <w:proofErr w:type="spell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= </w:t>
      </w:r>
      <w:r w:rsidR="001E6AC4">
        <w:rPr>
          <w:szCs w:val="26"/>
          <w:lang w:val="en-US"/>
        </w:rPr>
        <w:t>V</w:t>
      </w:r>
      <w:proofErr w:type="spellStart"/>
      <w:r w:rsidR="001E6AC4">
        <w:rPr>
          <w:szCs w:val="26"/>
          <w:vertAlign w:val="subscript"/>
        </w:rPr>
        <w:t>рз</w:t>
      </w:r>
      <w:proofErr w:type="spellEnd"/>
      <w:r w:rsidRPr="00EC3BF3">
        <w:rPr>
          <w:szCs w:val="26"/>
          <w:vertAlign w:val="subscript"/>
        </w:rPr>
        <w:t xml:space="preserve"> </w:t>
      </w:r>
      <w:r>
        <w:rPr>
          <w:szCs w:val="26"/>
          <w:lang w:val="en-US"/>
        </w:rPr>
        <w:t>x</w:t>
      </w:r>
      <w:r w:rsidRPr="00EC3BF3">
        <w:rPr>
          <w:szCs w:val="26"/>
        </w:rPr>
        <w:t xml:space="preserve"> </w:t>
      </w:r>
      <w:proofErr w:type="spellStart"/>
      <w:r>
        <w:rPr>
          <w:szCs w:val="26"/>
        </w:rPr>
        <w:t>К</w:t>
      </w:r>
      <w:r>
        <w:rPr>
          <w:szCs w:val="26"/>
          <w:vertAlign w:val="subscript"/>
        </w:rPr>
        <w:t>кк</w:t>
      </w:r>
      <w:proofErr w:type="spellEnd"/>
      <w:r>
        <w:rPr>
          <w:szCs w:val="26"/>
        </w:rPr>
        <w:t>, где:</w:t>
      </w:r>
    </w:p>
    <w:p w:rsidR="00BA0FF9" w:rsidRPr="00EC3BF3" w:rsidRDefault="00BA0FF9" w:rsidP="00BA0F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6"/>
        </w:rPr>
      </w:pPr>
    </w:p>
    <w:p w:rsidR="00722C1A" w:rsidRDefault="00BA0FF9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кк</w:t>
      </w:r>
      <w:proofErr w:type="spellEnd"/>
      <w:r>
        <w:rPr>
          <w:szCs w:val="26"/>
          <w:vertAlign w:val="subscript"/>
        </w:rPr>
        <w:t xml:space="preserve"> </w:t>
      </w:r>
      <w:r>
        <w:rPr>
          <w:szCs w:val="26"/>
        </w:rPr>
        <w:t xml:space="preserve">– </w:t>
      </w:r>
      <w:r>
        <w:t xml:space="preserve">прогнозируемый объем поступлений кредитов от кредитных организаций по действующим и планируемым к заключению договорам в соответствующем </w:t>
      </w:r>
      <w:r>
        <w:lastRenderedPageBreak/>
        <w:t>финансовом году;</w:t>
      </w:r>
    </w:p>
    <w:p w:rsidR="00BA0FF9" w:rsidRDefault="001E6AC4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рз</w:t>
      </w:r>
      <w:proofErr w:type="spellEnd"/>
      <w:r w:rsidR="00656960">
        <w:rPr>
          <w:vertAlign w:val="subscript"/>
        </w:rPr>
        <w:t xml:space="preserve"> </w:t>
      </w:r>
      <w:r w:rsidR="00656960">
        <w:rPr>
          <w:szCs w:val="26"/>
        </w:rPr>
        <w:t>– прогнозируемый объем</w:t>
      </w:r>
      <w:r>
        <w:rPr>
          <w:szCs w:val="26"/>
        </w:rPr>
        <w:t xml:space="preserve"> рыночных</w:t>
      </w:r>
      <w:r w:rsidR="00656960">
        <w:rPr>
          <w:szCs w:val="26"/>
        </w:rPr>
        <w:t xml:space="preserve"> заимствований на соответствующий финансовый год;</w:t>
      </w:r>
    </w:p>
    <w:p w:rsidR="00656960" w:rsidRPr="00656960" w:rsidRDefault="00656960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proofErr w:type="spellStart"/>
      <w:r>
        <w:rPr>
          <w:szCs w:val="26"/>
        </w:rPr>
        <w:t>К</w:t>
      </w:r>
      <w:r>
        <w:rPr>
          <w:szCs w:val="26"/>
          <w:vertAlign w:val="subscript"/>
        </w:rPr>
        <w:t>кк</w:t>
      </w:r>
      <w:proofErr w:type="spellEnd"/>
      <w:r>
        <w:rPr>
          <w:szCs w:val="26"/>
        </w:rPr>
        <w:t xml:space="preserve"> – </w:t>
      </w:r>
      <w:r w:rsidR="00931B67">
        <w:rPr>
          <w:szCs w:val="26"/>
        </w:rPr>
        <w:t>к</w:t>
      </w:r>
      <w:r w:rsidR="00931B67" w:rsidRPr="004549AB">
        <w:rPr>
          <w:szCs w:val="26"/>
        </w:rPr>
        <w:t xml:space="preserve">оэффициент </w:t>
      </w:r>
      <w:r w:rsidR="00931B67">
        <w:rPr>
          <w:szCs w:val="26"/>
        </w:rPr>
        <w:t>привлечения кредитов от кредитных организаций</w:t>
      </w:r>
      <w:r w:rsidR="00AC0826">
        <w:t>.</w:t>
      </w:r>
    </w:p>
    <w:p w:rsidR="00344402" w:rsidRPr="004549AB" w:rsidRDefault="00344402" w:rsidP="0034440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6"/>
        </w:rPr>
      </w:pPr>
      <w:proofErr w:type="gramStart"/>
      <w:r w:rsidRPr="004549AB">
        <w:rPr>
          <w:szCs w:val="26"/>
        </w:rPr>
        <w:t>Возврат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 (бюджетные кредиты, предоставленные для покрытия временных кассовых разрывов бюджетов муниципальных образований)</w:t>
      </w:r>
      <w:r w:rsidR="004549AB" w:rsidRPr="004549AB">
        <w:rPr>
          <w:szCs w:val="26"/>
        </w:rPr>
        <w:t>, в</w:t>
      </w:r>
      <w:r w:rsidRPr="004549AB">
        <w:rPr>
          <w:szCs w:val="26"/>
        </w:rPr>
        <w:t>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 (бюджетные кредиты, предоставленные на строительство, реконструкцию, капитальный ремонт, ремонт и содержание</w:t>
      </w:r>
      <w:proofErr w:type="gramEnd"/>
      <w:r w:rsidRPr="004549AB">
        <w:rPr>
          <w:szCs w:val="26"/>
        </w:rPr>
        <w:t xml:space="preserve"> автомобильных дорог общего пользования (за исключением автомобильных дорог федерального значения))</w:t>
      </w:r>
      <w:r w:rsidR="004549AB" w:rsidRPr="004549AB">
        <w:rPr>
          <w:szCs w:val="26"/>
        </w:rPr>
        <w:t xml:space="preserve">; </w:t>
      </w:r>
      <w:r w:rsidR="004549AB">
        <w:rPr>
          <w:szCs w:val="26"/>
        </w:rPr>
        <w:t>в</w:t>
      </w:r>
      <w:r w:rsidRPr="004549AB">
        <w:rPr>
          <w:szCs w:val="26"/>
        </w:rPr>
        <w:t>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 (бюджетные кредиты, предоставленные для частичного покрытия дефицита бюджетов муниципальных образований).</w:t>
      </w:r>
    </w:p>
    <w:p w:rsidR="00344402" w:rsidRDefault="00344402" w:rsidP="0034440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>Для расчета прогнозного объема поступлений учитываются:</w:t>
      </w:r>
    </w:p>
    <w:p w:rsidR="00B91632" w:rsidRPr="00155CE7" w:rsidRDefault="004549AB" w:rsidP="00344402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прогнозируемые</w:t>
      </w:r>
      <w:r w:rsidR="00B91632" w:rsidRPr="00155CE7">
        <w:rPr>
          <w:rFonts w:ascii="Times New Roman" w:hAnsi="Times New Roman" w:cs="Times New Roman"/>
        </w:rPr>
        <w:t xml:space="preserve"> на соответствующий финансовый год лимиты предоставления бюджетных кредитов муниципальным образованиям Калужской области;</w:t>
      </w:r>
    </w:p>
    <w:p w:rsidR="00B91632" w:rsidRPr="00155CE7" w:rsidRDefault="00B91632" w:rsidP="00344402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55CE7">
        <w:rPr>
          <w:rFonts w:ascii="Times New Roman" w:hAnsi="Times New Roman" w:cs="Times New Roman"/>
        </w:rPr>
        <w:t xml:space="preserve">условия действующих и планируемых к заключению договоров о предоставлении бюджетных кредитов </w:t>
      </w:r>
      <w:proofErr w:type="gramStart"/>
      <w:r w:rsidRPr="00155CE7">
        <w:rPr>
          <w:rFonts w:ascii="Times New Roman" w:hAnsi="Times New Roman" w:cs="Times New Roman"/>
        </w:rPr>
        <w:t>из</w:t>
      </w:r>
      <w:proofErr w:type="gramEnd"/>
      <w:r w:rsidRPr="00155CE7">
        <w:rPr>
          <w:rFonts w:ascii="Times New Roman" w:hAnsi="Times New Roman" w:cs="Times New Roman"/>
        </w:rPr>
        <w:t xml:space="preserve"> областного бюджета;</w:t>
      </w:r>
    </w:p>
    <w:p w:rsidR="00B91632" w:rsidRPr="00155CE7" w:rsidRDefault="00B91632" w:rsidP="00344402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55CE7">
        <w:rPr>
          <w:rFonts w:ascii="Times New Roman" w:hAnsi="Times New Roman" w:cs="Times New Roman"/>
        </w:rPr>
        <w:t xml:space="preserve">оценка вероятности </w:t>
      </w:r>
      <w:r w:rsidR="004549AB">
        <w:rPr>
          <w:rFonts w:ascii="Times New Roman" w:hAnsi="Times New Roman" w:cs="Times New Roman"/>
        </w:rPr>
        <w:t xml:space="preserve">и объема </w:t>
      </w:r>
      <w:r w:rsidR="00344402">
        <w:rPr>
          <w:rFonts w:ascii="Times New Roman" w:hAnsi="Times New Roman" w:cs="Times New Roman"/>
        </w:rPr>
        <w:t xml:space="preserve">реструктуризации задолженности по бюджетным кредитам, предоставленным </w:t>
      </w:r>
      <w:r w:rsidRPr="00155CE7">
        <w:rPr>
          <w:rFonts w:ascii="Times New Roman" w:hAnsi="Times New Roman" w:cs="Times New Roman"/>
        </w:rPr>
        <w:t>муниципальным образованиям Калужской области</w:t>
      </w:r>
      <w:r w:rsidR="00344402">
        <w:rPr>
          <w:rFonts w:ascii="Times New Roman" w:hAnsi="Times New Roman" w:cs="Times New Roman"/>
        </w:rPr>
        <w:t>.</w:t>
      </w:r>
    </w:p>
    <w:p w:rsidR="00B91632" w:rsidRDefault="00344402" w:rsidP="0034440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</w:rPr>
        <w:t>Формула расчета поступлений от в</w:t>
      </w:r>
      <w:r w:rsidRPr="004F3351">
        <w:rPr>
          <w:szCs w:val="26"/>
        </w:rPr>
        <w:t>озврат</w:t>
      </w:r>
      <w:r>
        <w:rPr>
          <w:szCs w:val="26"/>
        </w:rPr>
        <w:t>а</w:t>
      </w:r>
      <w:r w:rsidRPr="004F3351">
        <w:rPr>
          <w:szCs w:val="26"/>
        </w:rPr>
        <w:t xml:space="preserve"> бюджетных кредитов, предоставленных другим бюджетам бюдже</w:t>
      </w:r>
      <w:bookmarkStart w:id="0" w:name="_GoBack"/>
      <w:bookmarkEnd w:id="0"/>
      <w:r w:rsidRPr="004F3351">
        <w:rPr>
          <w:szCs w:val="26"/>
        </w:rPr>
        <w:t>тной системы Российской Федерации из бюджета субъекта Российской Федерации в валюте Российской Федерации</w:t>
      </w:r>
      <w:r>
        <w:rPr>
          <w:szCs w:val="26"/>
        </w:rPr>
        <w:t>:</w:t>
      </w:r>
    </w:p>
    <w:p w:rsidR="00344402" w:rsidRPr="00344402" w:rsidRDefault="00344402" w:rsidP="0034440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</w:p>
    <w:p w:rsidR="00B91632" w:rsidRDefault="00592E46" w:rsidP="00B91632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 w:rsidR="00B91632">
        <w:rPr>
          <w:szCs w:val="26"/>
          <w:vertAlign w:val="subscript"/>
        </w:rPr>
        <w:t>бк</w:t>
      </w:r>
      <w:r>
        <w:rPr>
          <w:szCs w:val="26"/>
          <w:vertAlign w:val="subscript"/>
        </w:rPr>
        <w:t>м</w:t>
      </w:r>
      <w:proofErr w:type="spellEnd"/>
      <w:r w:rsidR="00B91632">
        <w:rPr>
          <w:szCs w:val="26"/>
        </w:rPr>
        <w:t xml:space="preserve"> = (</w:t>
      </w:r>
      <w:r>
        <w:rPr>
          <w:szCs w:val="26"/>
          <w:lang w:val="en-US"/>
        </w:rPr>
        <w:t>V</w:t>
      </w:r>
      <w:r w:rsidR="00B91632">
        <w:rPr>
          <w:szCs w:val="26"/>
          <w:vertAlign w:val="subscript"/>
        </w:rPr>
        <w:t xml:space="preserve">пл1 </w:t>
      </w:r>
      <w:r w:rsidR="00B91632">
        <w:rPr>
          <w:szCs w:val="26"/>
        </w:rPr>
        <w:t xml:space="preserve">+ </w:t>
      </w:r>
      <w:r>
        <w:rPr>
          <w:szCs w:val="26"/>
          <w:lang w:val="en-US"/>
        </w:rPr>
        <w:t>V</w:t>
      </w:r>
      <w:r w:rsidR="00B91632">
        <w:rPr>
          <w:szCs w:val="26"/>
          <w:vertAlign w:val="subscript"/>
        </w:rPr>
        <w:t>пл2</w:t>
      </w:r>
      <w:r w:rsidR="00B91632">
        <w:rPr>
          <w:szCs w:val="26"/>
        </w:rPr>
        <w:t>)</w:t>
      </w:r>
      <w:r w:rsidR="00B91632" w:rsidRPr="00B91632">
        <w:rPr>
          <w:szCs w:val="26"/>
        </w:rPr>
        <w:t xml:space="preserve"> </w:t>
      </w:r>
      <w:r w:rsidR="00B91632">
        <w:rPr>
          <w:szCs w:val="26"/>
          <w:lang w:val="en-US"/>
        </w:rPr>
        <w:t>x</w:t>
      </w:r>
      <w:r w:rsidR="00B91632" w:rsidRPr="00B91632">
        <w:rPr>
          <w:szCs w:val="26"/>
        </w:rPr>
        <w:t xml:space="preserve"> </w:t>
      </w:r>
      <w:proofErr w:type="spellStart"/>
      <w:r w:rsidR="00B91632">
        <w:rPr>
          <w:szCs w:val="26"/>
        </w:rPr>
        <w:t>К</w:t>
      </w:r>
      <w:r>
        <w:rPr>
          <w:szCs w:val="26"/>
          <w:vertAlign w:val="subscript"/>
        </w:rPr>
        <w:t>бкм</w:t>
      </w:r>
      <w:proofErr w:type="spellEnd"/>
      <w:r w:rsidR="00B91632">
        <w:rPr>
          <w:szCs w:val="26"/>
        </w:rPr>
        <w:t>, где:</w:t>
      </w:r>
    </w:p>
    <w:p w:rsidR="006E7226" w:rsidRDefault="006E7226" w:rsidP="00B91632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Cs w:val="26"/>
        </w:rPr>
      </w:pPr>
    </w:p>
    <w:p w:rsidR="00B91632" w:rsidRDefault="00592E46" w:rsidP="00B916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бкм</w:t>
      </w:r>
      <w:proofErr w:type="spellEnd"/>
      <w:r w:rsidR="00B91632">
        <w:rPr>
          <w:szCs w:val="26"/>
        </w:rPr>
        <w:t xml:space="preserve"> – </w:t>
      </w:r>
      <w:r>
        <w:t>прогнозируемый объем поступлений</w:t>
      </w:r>
      <w:r w:rsidR="00B91632" w:rsidRPr="00155CE7">
        <w:rPr>
          <w:szCs w:val="26"/>
        </w:rPr>
        <w:t xml:space="preserve"> от возврата бюджетных кредитов, предоставленных муниципальным образованиям области из областного бюджета в соответствующем финансовом году;</w:t>
      </w:r>
    </w:p>
    <w:p w:rsidR="00B91632" w:rsidRDefault="00592E46" w:rsidP="00B916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r>
        <w:rPr>
          <w:szCs w:val="26"/>
          <w:vertAlign w:val="subscript"/>
        </w:rPr>
        <w:t>пл1</w:t>
      </w:r>
      <w:r w:rsidR="00B91632">
        <w:rPr>
          <w:szCs w:val="26"/>
        </w:rPr>
        <w:t xml:space="preserve"> – </w:t>
      </w:r>
      <w:r w:rsidR="00B91632" w:rsidRPr="00155CE7">
        <w:rPr>
          <w:szCs w:val="26"/>
        </w:rPr>
        <w:t>план по возврату муниципальными образованиями области бюджетных кредитов в областной бюджет в соответствующем финансовом году (на основании действующих договоров);</w:t>
      </w:r>
    </w:p>
    <w:p w:rsidR="00B91632" w:rsidRDefault="00592E46" w:rsidP="00592E4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r>
        <w:rPr>
          <w:szCs w:val="26"/>
          <w:lang w:val="en-US"/>
        </w:rPr>
        <w:t>V</w:t>
      </w:r>
      <w:r>
        <w:rPr>
          <w:szCs w:val="26"/>
          <w:vertAlign w:val="subscript"/>
        </w:rPr>
        <w:t>пл2</w:t>
      </w:r>
      <w:r w:rsidR="00B91632" w:rsidRPr="00592E46">
        <w:rPr>
          <w:szCs w:val="26"/>
        </w:rPr>
        <w:t xml:space="preserve"> - план по возврату муниципальными образованиями области бюджетных кредитов в областной бюджет в соответствующем финансовом году (на основании планируемых к предоставлению бюджетных кредитов);</w:t>
      </w:r>
    </w:p>
    <w:p w:rsidR="00B91632" w:rsidRPr="00B91632" w:rsidRDefault="00592E46" w:rsidP="00B9163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6"/>
        </w:rPr>
      </w:pPr>
      <w:proofErr w:type="spellStart"/>
      <w:r>
        <w:rPr>
          <w:szCs w:val="26"/>
        </w:rPr>
        <w:t>К</w:t>
      </w:r>
      <w:r>
        <w:rPr>
          <w:szCs w:val="26"/>
          <w:vertAlign w:val="subscript"/>
        </w:rPr>
        <w:t>бкм</w:t>
      </w:r>
      <w:proofErr w:type="spellEnd"/>
      <w:r w:rsidRPr="00592E46">
        <w:rPr>
          <w:szCs w:val="26"/>
        </w:rPr>
        <w:t xml:space="preserve"> – </w:t>
      </w:r>
      <w:r w:rsidRPr="00301735">
        <w:rPr>
          <w:szCs w:val="26"/>
        </w:rPr>
        <w:t xml:space="preserve">коэффициент вероятности </w:t>
      </w:r>
      <w:r w:rsidR="004549AB">
        <w:rPr>
          <w:szCs w:val="26"/>
        </w:rPr>
        <w:t>реструктуризации</w:t>
      </w:r>
      <w:r w:rsidRPr="00301735">
        <w:rPr>
          <w:szCs w:val="26"/>
        </w:rPr>
        <w:t xml:space="preserve"> бюджетных кредитов. Определяется на основе анализа исполнения муниципального бюджета и с учетом проведения реструктуризации задолженности по предоставленным бюджетным кредитам.</w:t>
      </w:r>
    </w:p>
    <w:sectPr w:rsidR="00B91632" w:rsidRPr="00B91632" w:rsidSect="003C3500">
      <w:headerReference w:type="even" r:id="rId9"/>
      <w:footerReference w:type="even" r:id="rId10"/>
      <w:footerReference w:type="default" r:id="rId11"/>
      <w:footerReference w:type="first" r:id="rId12"/>
      <w:pgSz w:w="11907" w:h="16840" w:code="9"/>
      <w:pgMar w:top="567" w:right="851" w:bottom="709" w:left="1134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52" w:rsidRDefault="00491752">
      <w:r>
        <w:separator/>
      </w:r>
    </w:p>
  </w:endnote>
  <w:endnote w:type="continuationSeparator" w:id="0">
    <w:p w:rsidR="00491752" w:rsidRDefault="004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52" w:rsidRDefault="0049175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1752" w:rsidRDefault="00491752">
    <w:pPr>
      <w:pStyle w:val="a6"/>
      <w:ind w:right="360"/>
    </w:pPr>
  </w:p>
  <w:p w:rsidR="00491752" w:rsidRDefault="004917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52" w:rsidRDefault="00491752">
    <w:pPr>
      <w:pStyle w:val="a6"/>
      <w:ind w:right="360"/>
      <w:rPr>
        <w:lang w:val="en-US"/>
      </w:rPr>
    </w:pPr>
  </w:p>
  <w:p w:rsidR="00491752" w:rsidRDefault="00491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52" w:rsidRDefault="0049175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91752" w:rsidRDefault="00491752">
    <w:pPr>
      <w:pStyle w:val="a6"/>
      <w:ind w:right="360"/>
    </w:pPr>
  </w:p>
  <w:p w:rsidR="00491752" w:rsidRDefault="00491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52" w:rsidRDefault="00491752">
      <w:r>
        <w:separator/>
      </w:r>
    </w:p>
  </w:footnote>
  <w:footnote w:type="continuationSeparator" w:id="0">
    <w:p w:rsidR="00491752" w:rsidRDefault="0049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52" w:rsidRDefault="004917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1752" w:rsidRDefault="00491752">
    <w:pPr>
      <w:pStyle w:val="a3"/>
    </w:pPr>
  </w:p>
  <w:p w:rsidR="00491752" w:rsidRDefault="00491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D7A"/>
    <w:multiLevelType w:val="hybridMultilevel"/>
    <w:tmpl w:val="22BCE40A"/>
    <w:lvl w:ilvl="0" w:tplc="82D45F7A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F05CBD"/>
    <w:multiLevelType w:val="hybridMultilevel"/>
    <w:tmpl w:val="19147F58"/>
    <w:lvl w:ilvl="0" w:tplc="9B82660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6B60D0"/>
    <w:multiLevelType w:val="hybridMultilevel"/>
    <w:tmpl w:val="DDD6E892"/>
    <w:lvl w:ilvl="0" w:tplc="8CD66B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B48D9"/>
    <w:multiLevelType w:val="hybridMultilevel"/>
    <w:tmpl w:val="DFC41540"/>
    <w:lvl w:ilvl="0" w:tplc="2E32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66652F"/>
    <w:multiLevelType w:val="hybridMultilevel"/>
    <w:tmpl w:val="5F5232AA"/>
    <w:lvl w:ilvl="0" w:tplc="29DC22AA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5B94989"/>
    <w:multiLevelType w:val="hybridMultilevel"/>
    <w:tmpl w:val="EC5C24F8"/>
    <w:lvl w:ilvl="0" w:tplc="2E32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5467BF"/>
    <w:multiLevelType w:val="hybridMultilevel"/>
    <w:tmpl w:val="BFBC3D7C"/>
    <w:lvl w:ilvl="0" w:tplc="2E32B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260EDB"/>
    <w:multiLevelType w:val="hybridMultilevel"/>
    <w:tmpl w:val="3EB62BD8"/>
    <w:lvl w:ilvl="0" w:tplc="06FE9B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61557"/>
    <w:multiLevelType w:val="hybridMultilevel"/>
    <w:tmpl w:val="EB52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53490"/>
    <w:multiLevelType w:val="hybridMultilevel"/>
    <w:tmpl w:val="67F238C0"/>
    <w:lvl w:ilvl="0" w:tplc="06FE9B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5CC4"/>
    <w:multiLevelType w:val="multilevel"/>
    <w:tmpl w:val="C4C08062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5B7A197B"/>
    <w:multiLevelType w:val="multilevel"/>
    <w:tmpl w:val="7B04B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843BBD"/>
    <w:multiLevelType w:val="hybridMultilevel"/>
    <w:tmpl w:val="729EBBFA"/>
    <w:lvl w:ilvl="0" w:tplc="06FE9B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ED5DB9"/>
    <w:multiLevelType w:val="hybridMultilevel"/>
    <w:tmpl w:val="9634F5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F85EA0"/>
    <w:multiLevelType w:val="hybridMultilevel"/>
    <w:tmpl w:val="6F627A4A"/>
    <w:lvl w:ilvl="0" w:tplc="986CF07C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A6811"/>
    <w:multiLevelType w:val="hybridMultilevel"/>
    <w:tmpl w:val="3EB62BD8"/>
    <w:lvl w:ilvl="0" w:tplc="06FE9B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2E1796"/>
    <w:multiLevelType w:val="hybridMultilevel"/>
    <w:tmpl w:val="138E7208"/>
    <w:lvl w:ilvl="0" w:tplc="9B82660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820611"/>
    <w:multiLevelType w:val="hybridMultilevel"/>
    <w:tmpl w:val="D1B24AA0"/>
    <w:lvl w:ilvl="0" w:tplc="2E32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0274DE"/>
    <w:multiLevelType w:val="hybridMultilevel"/>
    <w:tmpl w:val="83B89E16"/>
    <w:lvl w:ilvl="0" w:tplc="E6863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A0147"/>
    <w:multiLevelType w:val="hybridMultilevel"/>
    <w:tmpl w:val="111EFE8E"/>
    <w:lvl w:ilvl="0" w:tplc="84DA368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F640D"/>
    <w:multiLevelType w:val="hybridMultilevel"/>
    <w:tmpl w:val="28CC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0"/>
  </w:num>
  <w:num w:numId="5">
    <w:abstractNumId w:val="11"/>
  </w:num>
  <w:num w:numId="6">
    <w:abstractNumId w:val="20"/>
  </w:num>
  <w:num w:numId="7">
    <w:abstractNumId w:val="19"/>
  </w:num>
  <w:num w:numId="8">
    <w:abstractNumId w:val="8"/>
  </w:num>
  <w:num w:numId="9">
    <w:abstractNumId w:val="1"/>
  </w:num>
  <w:num w:numId="10">
    <w:abstractNumId w:val="16"/>
  </w:num>
  <w:num w:numId="11">
    <w:abstractNumId w:val="12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6"/>
  </w:num>
  <w:num w:numId="19">
    <w:abstractNumId w:val="5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F1"/>
    <w:rsid w:val="000148D4"/>
    <w:rsid w:val="000178B8"/>
    <w:rsid w:val="000221CA"/>
    <w:rsid w:val="00030BC5"/>
    <w:rsid w:val="00036E4A"/>
    <w:rsid w:val="00037EEF"/>
    <w:rsid w:val="00042241"/>
    <w:rsid w:val="000442AC"/>
    <w:rsid w:val="00054401"/>
    <w:rsid w:val="00064773"/>
    <w:rsid w:val="00076F9C"/>
    <w:rsid w:val="00093D2E"/>
    <w:rsid w:val="000A5281"/>
    <w:rsid w:val="000A7619"/>
    <w:rsid w:val="000B0730"/>
    <w:rsid w:val="000B705E"/>
    <w:rsid w:val="000B779E"/>
    <w:rsid w:val="00107181"/>
    <w:rsid w:val="00130F21"/>
    <w:rsid w:val="00142863"/>
    <w:rsid w:val="00142E1F"/>
    <w:rsid w:val="00142ECC"/>
    <w:rsid w:val="00160736"/>
    <w:rsid w:val="00191F57"/>
    <w:rsid w:val="001A1590"/>
    <w:rsid w:val="001C2762"/>
    <w:rsid w:val="001D114E"/>
    <w:rsid w:val="001D184B"/>
    <w:rsid w:val="001D42CD"/>
    <w:rsid w:val="001E6AC4"/>
    <w:rsid w:val="001F3F04"/>
    <w:rsid w:val="002253DD"/>
    <w:rsid w:val="00233239"/>
    <w:rsid w:val="00234C31"/>
    <w:rsid w:val="00234F0D"/>
    <w:rsid w:val="00245156"/>
    <w:rsid w:val="00251B57"/>
    <w:rsid w:val="00263789"/>
    <w:rsid w:val="00267677"/>
    <w:rsid w:val="00273DCF"/>
    <w:rsid w:val="002A6B42"/>
    <w:rsid w:val="002C5889"/>
    <w:rsid w:val="002D4B75"/>
    <w:rsid w:val="002F6788"/>
    <w:rsid w:val="002F693A"/>
    <w:rsid w:val="00315CC6"/>
    <w:rsid w:val="00344402"/>
    <w:rsid w:val="003674DD"/>
    <w:rsid w:val="003706F1"/>
    <w:rsid w:val="0037562F"/>
    <w:rsid w:val="00381F16"/>
    <w:rsid w:val="00395CFF"/>
    <w:rsid w:val="003A30A4"/>
    <w:rsid w:val="003A5CC5"/>
    <w:rsid w:val="003C3500"/>
    <w:rsid w:val="003C3E29"/>
    <w:rsid w:val="003C50A3"/>
    <w:rsid w:val="003E11F7"/>
    <w:rsid w:val="003E60EF"/>
    <w:rsid w:val="003F7770"/>
    <w:rsid w:val="00404124"/>
    <w:rsid w:val="0044333B"/>
    <w:rsid w:val="004549AB"/>
    <w:rsid w:val="00456282"/>
    <w:rsid w:val="004767AE"/>
    <w:rsid w:val="00491276"/>
    <w:rsid w:val="00491752"/>
    <w:rsid w:val="004A66AB"/>
    <w:rsid w:val="004B4366"/>
    <w:rsid w:val="004E2BBF"/>
    <w:rsid w:val="004E3E1E"/>
    <w:rsid w:val="004F3351"/>
    <w:rsid w:val="004F60A3"/>
    <w:rsid w:val="0051330C"/>
    <w:rsid w:val="005173B3"/>
    <w:rsid w:val="005423EF"/>
    <w:rsid w:val="00566DEF"/>
    <w:rsid w:val="005738BE"/>
    <w:rsid w:val="005775E1"/>
    <w:rsid w:val="00584009"/>
    <w:rsid w:val="00592E46"/>
    <w:rsid w:val="00594F87"/>
    <w:rsid w:val="005A1EF0"/>
    <w:rsid w:val="005A39B8"/>
    <w:rsid w:val="005A6BE9"/>
    <w:rsid w:val="005A7042"/>
    <w:rsid w:val="005B1ECC"/>
    <w:rsid w:val="005C23DF"/>
    <w:rsid w:val="005D74E9"/>
    <w:rsid w:val="005E05E2"/>
    <w:rsid w:val="005F2511"/>
    <w:rsid w:val="0062500D"/>
    <w:rsid w:val="00637227"/>
    <w:rsid w:val="00656960"/>
    <w:rsid w:val="00664017"/>
    <w:rsid w:val="00674705"/>
    <w:rsid w:val="00674F16"/>
    <w:rsid w:val="00687D54"/>
    <w:rsid w:val="006A2E54"/>
    <w:rsid w:val="006C3896"/>
    <w:rsid w:val="006D10B0"/>
    <w:rsid w:val="006E7226"/>
    <w:rsid w:val="00716BBB"/>
    <w:rsid w:val="00722C1A"/>
    <w:rsid w:val="007370A9"/>
    <w:rsid w:val="00744CC4"/>
    <w:rsid w:val="007459D0"/>
    <w:rsid w:val="007509A6"/>
    <w:rsid w:val="00760924"/>
    <w:rsid w:val="007651FB"/>
    <w:rsid w:val="00780DF8"/>
    <w:rsid w:val="007B3CD4"/>
    <w:rsid w:val="007C6B87"/>
    <w:rsid w:val="007E0C2E"/>
    <w:rsid w:val="007F505B"/>
    <w:rsid w:val="008024EF"/>
    <w:rsid w:val="008271D5"/>
    <w:rsid w:val="00836BF8"/>
    <w:rsid w:val="008374F9"/>
    <w:rsid w:val="00837E2F"/>
    <w:rsid w:val="008447A8"/>
    <w:rsid w:val="0085421B"/>
    <w:rsid w:val="00887440"/>
    <w:rsid w:val="00897DE0"/>
    <w:rsid w:val="00907D7B"/>
    <w:rsid w:val="00916086"/>
    <w:rsid w:val="009173A0"/>
    <w:rsid w:val="00931B67"/>
    <w:rsid w:val="00936DF4"/>
    <w:rsid w:val="009453F9"/>
    <w:rsid w:val="009535CF"/>
    <w:rsid w:val="009E3F0B"/>
    <w:rsid w:val="00A24125"/>
    <w:rsid w:val="00A27C6A"/>
    <w:rsid w:val="00A366E9"/>
    <w:rsid w:val="00A37CE1"/>
    <w:rsid w:val="00A40480"/>
    <w:rsid w:val="00A405F3"/>
    <w:rsid w:val="00A42BC0"/>
    <w:rsid w:val="00A505F6"/>
    <w:rsid w:val="00A516DA"/>
    <w:rsid w:val="00A901DE"/>
    <w:rsid w:val="00A934F0"/>
    <w:rsid w:val="00A938D5"/>
    <w:rsid w:val="00AA2946"/>
    <w:rsid w:val="00AC0826"/>
    <w:rsid w:val="00AE69EA"/>
    <w:rsid w:val="00B036F5"/>
    <w:rsid w:val="00B111F8"/>
    <w:rsid w:val="00B11520"/>
    <w:rsid w:val="00B2471E"/>
    <w:rsid w:val="00B24F9D"/>
    <w:rsid w:val="00B60649"/>
    <w:rsid w:val="00B67766"/>
    <w:rsid w:val="00B7289C"/>
    <w:rsid w:val="00B86DCA"/>
    <w:rsid w:val="00B91632"/>
    <w:rsid w:val="00BA0FF9"/>
    <w:rsid w:val="00BA2A61"/>
    <w:rsid w:val="00BA7D06"/>
    <w:rsid w:val="00BB536D"/>
    <w:rsid w:val="00BB5B55"/>
    <w:rsid w:val="00BC0C53"/>
    <w:rsid w:val="00BE5D5A"/>
    <w:rsid w:val="00C121C2"/>
    <w:rsid w:val="00C14526"/>
    <w:rsid w:val="00C218FA"/>
    <w:rsid w:val="00C30C59"/>
    <w:rsid w:val="00C31BA4"/>
    <w:rsid w:val="00C33CE4"/>
    <w:rsid w:val="00C50DA5"/>
    <w:rsid w:val="00C51494"/>
    <w:rsid w:val="00C57AD4"/>
    <w:rsid w:val="00C631B0"/>
    <w:rsid w:val="00C64C8F"/>
    <w:rsid w:val="00C71CE0"/>
    <w:rsid w:val="00C901C8"/>
    <w:rsid w:val="00C92BAE"/>
    <w:rsid w:val="00CA1258"/>
    <w:rsid w:val="00CA1C26"/>
    <w:rsid w:val="00CB0508"/>
    <w:rsid w:val="00CB069B"/>
    <w:rsid w:val="00CB5BC5"/>
    <w:rsid w:val="00CD0C43"/>
    <w:rsid w:val="00CE1240"/>
    <w:rsid w:val="00CE54CA"/>
    <w:rsid w:val="00D02C01"/>
    <w:rsid w:val="00D052B6"/>
    <w:rsid w:val="00D51F96"/>
    <w:rsid w:val="00D5431A"/>
    <w:rsid w:val="00D840DE"/>
    <w:rsid w:val="00DA2758"/>
    <w:rsid w:val="00DB2640"/>
    <w:rsid w:val="00DB4DA6"/>
    <w:rsid w:val="00DC156F"/>
    <w:rsid w:val="00DE0081"/>
    <w:rsid w:val="00DE1AB6"/>
    <w:rsid w:val="00DF0CEE"/>
    <w:rsid w:val="00DF16E1"/>
    <w:rsid w:val="00E2265D"/>
    <w:rsid w:val="00E43D1C"/>
    <w:rsid w:val="00E44632"/>
    <w:rsid w:val="00E47FD9"/>
    <w:rsid w:val="00E51E12"/>
    <w:rsid w:val="00E63893"/>
    <w:rsid w:val="00E64B7F"/>
    <w:rsid w:val="00E72360"/>
    <w:rsid w:val="00E7477C"/>
    <w:rsid w:val="00E929C3"/>
    <w:rsid w:val="00E92B37"/>
    <w:rsid w:val="00EB490D"/>
    <w:rsid w:val="00EC3BF3"/>
    <w:rsid w:val="00EC6742"/>
    <w:rsid w:val="00EE2C26"/>
    <w:rsid w:val="00EE7B18"/>
    <w:rsid w:val="00F04330"/>
    <w:rsid w:val="00F04C39"/>
    <w:rsid w:val="00F07380"/>
    <w:rsid w:val="00F10A7F"/>
    <w:rsid w:val="00F13515"/>
    <w:rsid w:val="00F30ADF"/>
    <w:rsid w:val="00F448DF"/>
    <w:rsid w:val="00F63E17"/>
    <w:rsid w:val="00F70313"/>
    <w:rsid w:val="00F84E04"/>
    <w:rsid w:val="00F87A65"/>
    <w:rsid w:val="00FB3809"/>
    <w:rsid w:val="00FB3EFE"/>
    <w:rsid w:val="00FC14F5"/>
    <w:rsid w:val="00FC1AF1"/>
    <w:rsid w:val="00FD3983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caption"/>
    <w:basedOn w:val="a"/>
    <w:next w:val="a"/>
    <w:qFormat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FC1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FC1A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BE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5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58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B264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04124"/>
    <w:rPr>
      <w:color w:val="808080"/>
    </w:rPr>
  </w:style>
  <w:style w:type="paragraph" w:styleId="aa">
    <w:name w:val="List Paragraph"/>
    <w:basedOn w:val="a"/>
    <w:uiPriority w:val="34"/>
    <w:qFormat/>
    <w:rsid w:val="000A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caption"/>
    <w:basedOn w:val="a"/>
    <w:next w:val="a"/>
    <w:qFormat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FC1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FC1A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BE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5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58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B264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04124"/>
    <w:rPr>
      <w:color w:val="808080"/>
    </w:rPr>
  </w:style>
  <w:style w:type="paragraph" w:styleId="aa">
    <w:name w:val="List Paragraph"/>
    <w:basedOn w:val="a"/>
    <w:uiPriority w:val="34"/>
    <w:qFormat/>
    <w:rsid w:val="000A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F560-5756-4EA6-A42E-C3A7514B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1248</Words>
  <Characters>9753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Kominform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</dc:creator>
  <cp:lastModifiedBy>Bayshev ES.</cp:lastModifiedBy>
  <cp:revision>9</cp:revision>
  <cp:lastPrinted>2016-07-25T11:13:00Z</cp:lastPrinted>
  <dcterms:created xsi:type="dcterms:W3CDTF">2016-07-20T13:31:00Z</dcterms:created>
  <dcterms:modified xsi:type="dcterms:W3CDTF">2016-07-25T11:13:00Z</dcterms:modified>
</cp:coreProperties>
</file>