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3" w:rsidRPr="004F0303" w:rsidRDefault="00F646C3" w:rsidP="00F646C3">
      <w:pPr>
        <w:pStyle w:val="ConsPlusNormal"/>
        <w:ind w:left="39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F0303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F646C3" w:rsidRPr="004F0303" w:rsidRDefault="00F646C3" w:rsidP="00F646C3">
      <w:pPr>
        <w:ind w:left="-284" w:firstLine="709"/>
        <w:jc w:val="right"/>
        <w:rPr>
          <w:sz w:val="22"/>
          <w:szCs w:val="22"/>
          <w:lang w:val="ru-RU"/>
        </w:rPr>
      </w:pPr>
      <w:r w:rsidRPr="004F0303">
        <w:rPr>
          <w:sz w:val="22"/>
          <w:szCs w:val="22"/>
          <w:lang w:val="ru-RU"/>
        </w:rPr>
        <w:t>к приказу министерства</w:t>
      </w:r>
    </w:p>
    <w:p w:rsidR="00F646C3" w:rsidRPr="004F0303" w:rsidRDefault="00F646C3" w:rsidP="00F646C3">
      <w:pPr>
        <w:ind w:left="-284" w:firstLine="709"/>
        <w:jc w:val="right"/>
        <w:rPr>
          <w:sz w:val="22"/>
          <w:szCs w:val="22"/>
          <w:lang w:val="ru-RU"/>
        </w:rPr>
      </w:pPr>
      <w:r w:rsidRPr="004F0303">
        <w:rPr>
          <w:sz w:val="22"/>
          <w:szCs w:val="22"/>
          <w:lang w:val="ru-RU"/>
        </w:rPr>
        <w:t>экономического развития</w:t>
      </w:r>
    </w:p>
    <w:p w:rsidR="00F646C3" w:rsidRPr="004F0303" w:rsidRDefault="00F646C3" w:rsidP="00F646C3">
      <w:pPr>
        <w:ind w:left="-284" w:firstLine="709"/>
        <w:jc w:val="right"/>
        <w:rPr>
          <w:sz w:val="22"/>
          <w:szCs w:val="22"/>
          <w:lang w:val="ru-RU"/>
        </w:rPr>
      </w:pPr>
      <w:r w:rsidRPr="004F0303">
        <w:rPr>
          <w:sz w:val="22"/>
          <w:szCs w:val="22"/>
          <w:lang w:val="ru-RU"/>
        </w:rPr>
        <w:t>Калужской области</w:t>
      </w:r>
    </w:p>
    <w:p w:rsidR="00F646C3" w:rsidRPr="004F0303" w:rsidRDefault="00F646C3" w:rsidP="00F646C3">
      <w:pPr>
        <w:ind w:left="-284" w:firstLine="709"/>
        <w:jc w:val="right"/>
        <w:rPr>
          <w:sz w:val="22"/>
          <w:szCs w:val="22"/>
          <w:lang w:val="ru-RU"/>
        </w:rPr>
      </w:pPr>
      <w:r w:rsidRPr="004F0303">
        <w:rPr>
          <w:sz w:val="22"/>
          <w:szCs w:val="22"/>
          <w:lang w:val="ru-RU"/>
        </w:rPr>
        <w:t>от 24 июня 2014 г. № 898-п</w:t>
      </w:r>
    </w:p>
    <w:p w:rsidR="00F646C3" w:rsidRPr="00C92A0D" w:rsidRDefault="00F646C3" w:rsidP="00F646C3">
      <w:pPr>
        <w:widowControl w:val="0"/>
        <w:ind w:firstLine="709"/>
        <w:jc w:val="right"/>
        <w:rPr>
          <w:szCs w:val="26"/>
          <w:lang w:val="ru-RU"/>
        </w:rPr>
      </w:pPr>
    </w:p>
    <w:p w:rsidR="008F550D" w:rsidRPr="006B2355" w:rsidRDefault="008F550D" w:rsidP="00F646C3">
      <w:pPr>
        <w:ind w:firstLine="709"/>
        <w:jc w:val="center"/>
        <w:rPr>
          <w:b/>
          <w:bCs/>
          <w:szCs w:val="26"/>
          <w:lang w:val="ru-RU"/>
        </w:rPr>
      </w:pPr>
      <w:r w:rsidRPr="006B2355">
        <w:rPr>
          <w:b/>
          <w:bCs/>
          <w:szCs w:val="26"/>
          <w:lang w:val="ru-RU"/>
        </w:rPr>
        <w:t>З</w:t>
      </w:r>
      <w:r w:rsidR="00F646C3" w:rsidRPr="006B2355">
        <w:rPr>
          <w:b/>
          <w:bCs/>
          <w:szCs w:val="26"/>
          <w:lang w:val="ru-RU"/>
        </w:rPr>
        <w:t>аключени</w:t>
      </w:r>
      <w:r w:rsidRPr="006B2355">
        <w:rPr>
          <w:b/>
          <w:bCs/>
          <w:szCs w:val="26"/>
          <w:lang w:val="ru-RU"/>
        </w:rPr>
        <w:t>е</w:t>
      </w:r>
    </w:p>
    <w:p w:rsidR="00F646C3" w:rsidRPr="006B2355" w:rsidRDefault="00F646C3" w:rsidP="00F646C3">
      <w:pPr>
        <w:ind w:firstLine="709"/>
        <w:jc w:val="center"/>
        <w:rPr>
          <w:bCs/>
          <w:szCs w:val="26"/>
          <w:lang w:val="ru-RU"/>
        </w:rPr>
      </w:pPr>
      <w:r w:rsidRPr="006B2355">
        <w:rPr>
          <w:bCs/>
          <w:szCs w:val="26"/>
          <w:lang w:val="ru-RU"/>
        </w:rPr>
        <w:t xml:space="preserve"> </w:t>
      </w:r>
      <w:proofErr w:type="gramStart"/>
      <w:r w:rsidRPr="006B2355">
        <w:rPr>
          <w:bCs/>
          <w:szCs w:val="26"/>
          <w:lang w:val="ru-RU"/>
        </w:rPr>
        <w:t xml:space="preserve">об оценке регулирующего воздействия </w:t>
      </w:r>
      <w:r w:rsidR="008F550D" w:rsidRPr="006B2355">
        <w:rPr>
          <w:bCs/>
          <w:szCs w:val="26"/>
          <w:lang w:val="ru-RU"/>
        </w:rPr>
        <w:t xml:space="preserve">на проект закона Калужской области </w:t>
      </w:r>
      <w:r w:rsidR="00462788">
        <w:rPr>
          <w:bCs/>
          <w:szCs w:val="26"/>
          <w:lang w:val="ru-RU"/>
        </w:rPr>
        <w:t xml:space="preserve">                     </w:t>
      </w:r>
      <w:r w:rsidR="00462788" w:rsidRPr="00572696">
        <w:rPr>
          <w:szCs w:val="26"/>
          <w:lang w:val="ru-RU"/>
        </w:rPr>
        <w:t xml:space="preserve">«О внесении изменений в Закон Калужской области </w:t>
      </w:r>
      <w:r w:rsidR="00462788" w:rsidRPr="009C7F3D">
        <w:rPr>
          <w:szCs w:val="26"/>
          <w:lang w:val="ru-RU"/>
        </w:rPr>
        <w:t xml:space="preserve">от 26.06.2012 № 292-ОЗ </w:t>
      </w:r>
      <w:r w:rsidR="00462788" w:rsidRPr="00572696">
        <w:rPr>
          <w:szCs w:val="26"/>
          <w:lang w:val="ru-RU"/>
        </w:rPr>
        <w:t xml:space="preserve">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 </w:t>
      </w:r>
      <w:r w:rsidR="00462788">
        <w:rPr>
          <w:szCs w:val="26"/>
          <w:lang w:val="ru-RU"/>
        </w:rPr>
        <w:t xml:space="preserve">                                           </w:t>
      </w:r>
      <w:r w:rsidR="00462788" w:rsidRPr="00572696">
        <w:rPr>
          <w:szCs w:val="26"/>
          <w:lang w:val="ru-RU"/>
        </w:rPr>
        <w:t xml:space="preserve">(в ред. Законов Калужской области от 14.11.2012 № 350-ОЗ, от 28.03.2013 № 406-ОЗ, </w:t>
      </w:r>
      <w:r w:rsidR="00462788">
        <w:rPr>
          <w:szCs w:val="26"/>
          <w:lang w:val="ru-RU"/>
        </w:rPr>
        <w:t xml:space="preserve">                         </w:t>
      </w:r>
      <w:r w:rsidR="00462788" w:rsidRPr="00572696">
        <w:rPr>
          <w:szCs w:val="26"/>
          <w:lang w:val="ru-RU"/>
        </w:rPr>
        <w:t>от 26.05.2014 № 582-ОЗ)</w:t>
      </w:r>
      <w:proofErr w:type="gramEnd"/>
    </w:p>
    <w:tbl>
      <w:tblPr>
        <w:tblW w:w="163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820"/>
        <w:gridCol w:w="3544"/>
        <w:gridCol w:w="1842"/>
        <w:gridCol w:w="1560"/>
        <w:gridCol w:w="2239"/>
        <w:gridCol w:w="2268"/>
      </w:tblGrid>
      <w:tr w:rsidR="00F646C3" w:rsidRPr="00462788" w:rsidTr="00E2212A">
        <w:trPr>
          <w:gridAfter w:val="2"/>
          <w:wAfter w:w="4507" w:type="dxa"/>
        </w:trPr>
        <w:tc>
          <w:tcPr>
            <w:tcW w:w="4848" w:type="dxa"/>
            <w:gridSpan w:val="2"/>
          </w:tcPr>
          <w:p w:rsidR="00F646C3" w:rsidRPr="0064183A" w:rsidRDefault="00F646C3" w:rsidP="00D04F9F">
            <w:pPr>
              <w:pStyle w:val="a3"/>
              <w:rPr>
                <w:b/>
                <w:sz w:val="25"/>
                <w:szCs w:val="25"/>
              </w:rPr>
            </w:pPr>
          </w:p>
        </w:tc>
        <w:tc>
          <w:tcPr>
            <w:tcW w:w="3544" w:type="dxa"/>
          </w:tcPr>
          <w:p w:rsidR="00F646C3" w:rsidRPr="0064183A" w:rsidRDefault="00F646C3" w:rsidP="00D04F9F">
            <w:pPr>
              <w:ind w:firstLine="709"/>
              <w:rPr>
                <w:sz w:val="25"/>
                <w:szCs w:val="25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F646C3" w:rsidRPr="0064183A" w:rsidRDefault="00F646C3" w:rsidP="00D04F9F">
            <w:pPr>
              <w:ind w:firstLine="709"/>
              <w:jc w:val="right"/>
              <w:rPr>
                <w:sz w:val="25"/>
                <w:szCs w:val="25"/>
                <w:lang w:val="ru-RU"/>
              </w:rPr>
            </w:pPr>
          </w:p>
        </w:tc>
      </w:tr>
      <w:tr w:rsidR="00F646C3" w:rsidRPr="0064183A" w:rsidTr="00E87CCB">
        <w:trPr>
          <w:gridBefore w:val="1"/>
          <w:wBefore w:w="28" w:type="dxa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F646C3" w:rsidRPr="00E87CCB" w:rsidRDefault="007D7F51" w:rsidP="000C0E73">
            <w:pPr>
              <w:spacing w:before="120"/>
              <w:ind w:right="113" w:firstLine="681"/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E87CCB">
              <w:rPr>
                <w:sz w:val="25"/>
                <w:szCs w:val="25"/>
                <w:lang w:val="ru-RU"/>
              </w:rPr>
              <w:t xml:space="preserve">Министерство экономического развития Калужской области </w:t>
            </w:r>
            <w:r w:rsidR="00F646C3" w:rsidRPr="00E87CCB">
              <w:rPr>
                <w:sz w:val="25"/>
                <w:szCs w:val="25"/>
                <w:lang w:val="ru-RU"/>
              </w:rPr>
              <w:t>в соответствии с</w:t>
            </w:r>
            <w:r w:rsidR="000C0E73" w:rsidRPr="00E87CCB">
              <w:rPr>
                <w:sz w:val="25"/>
                <w:szCs w:val="25"/>
                <w:lang w:val="ru-RU"/>
              </w:rPr>
              <w:t xml:space="preserve">                </w:t>
            </w:r>
            <w:r w:rsidR="00F646C3" w:rsidRPr="00E87CCB">
              <w:rPr>
                <w:sz w:val="25"/>
                <w:szCs w:val="25"/>
                <w:lang w:val="ru-RU"/>
              </w:rPr>
              <w:t xml:space="preserve"> пунктом 4 Положения о порядке проведения оценки регулирующего воздействия проектов нормативных правовых актов Калужской области, затрагивающих вопросы осуществления предпринимательской и инвестиционной деятельности, и мониторинга фактического воздействия нормативных правовых актов Калужской области, утвержденного постановлением Правительства Калужской области от 15.05.2014 № 291 (далее - По</w:t>
            </w:r>
            <w:r w:rsidR="005716C3" w:rsidRPr="00E87CCB">
              <w:rPr>
                <w:sz w:val="25"/>
                <w:szCs w:val="25"/>
                <w:lang w:val="ru-RU"/>
              </w:rPr>
              <w:t>ложение</w:t>
            </w:r>
            <w:r w:rsidR="00F646C3" w:rsidRPr="00E87CCB">
              <w:rPr>
                <w:sz w:val="25"/>
                <w:szCs w:val="25"/>
                <w:lang w:val="ru-RU"/>
              </w:rPr>
              <w:t>), рассмотрело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проект закона Калужской </w:t>
            </w:r>
            <w:r w:rsidR="00462788" w:rsidRPr="00572696">
              <w:rPr>
                <w:szCs w:val="26"/>
                <w:lang w:val="ru-RU"/>
              </w:rPr>
              <w:t>«О внесении изменений в Закон Калужской области</w:t>
            </w:r>
            <w:proofErr w:type="gramEnd"/>
            <w:r w:rsidR="00462788" w:rsidRPr="00572696">
              <w:rPr>
                <w:szCs w:val="26"/>
                <w:lang w:val="ru-RU"/>
              </w:rPr>
              <w:t xml:space="preserve"> </w:t>
            </w:r>
            <w:proofErr w:type="gramStart"/>
            <w:r w:rsidR="00462788" w:rsidRPr="009C7F3D">
              <w:rPr>
                <w:szCs w:val="26"/>
                <w:lang w:val="ru-RU"/>
              </w:rPr>
              <w:t xml:space="preserve">от 26.06.2012 № 292-ОЗ </w:t>
            </w:r>
            <w:r w:rsidR="00462788" w:rsidRPr="00572696">
              <w:rPr>
                <w:szCs w:val="26"/>
                <w:lang w:val="ru-RU"/>
              </w:rPr>
              <w:t>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 (в ред. Законов Калужской области от 14.11.2012 № 350-ОЗ, от 28.03.2013 № 406-ОЗ, от 26.05.2014 № 582-ОЗ)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и </w:t>
            </w:r>
            <w:r w:rsidR="00F646C3" w:rsidRPr="00E87CCB">
              <w:rPr>
                <w:sz w:val="25"/>
                <w:szCs w:val="25"/>
                <w:lang w:val="ru-RU"/>
              </w:rPr>
              <w:t>сводный отчет о п</w:t>
            </w:r>
            <w:r w:rsidR="000C0E73" w:rsidRPr="00E87CCB">
              <w:rPr>
                <w:sz w:val="25"/>
                <w:szCs w:val="25"/>
                <w:lang w:val="ru-RU"/>
              </w:rPr>
              <w:t xml:space="preserve">роведении оценки регулирующего </w:t>
            </w:r>
            <w:r w:rsidR="00F646C3" w:rsidRPr="00E87CCB">
              <w:rPr>
                <w:sz w:val="25"/>
                <w:szCs w:val="25"/>
                <w:lang w:val="ru-RU"/>
              </w:rPr>
              <w:t>воздействия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(далее — сводный отчет), представленные </w:t>
            </w:r>
            <w:r w:rsidR="00AF5CC7" w:rsidRPr="00A27586">
              <w:rPr>
                <w:szCs w:val="26"/>
                <w:lang w:val="ru-RU"/>
              </w:rPr>
              <w:t>управлением административно-технического контроля Калужской области</w:t>
            </w:r>
            <w:r w:rsidR="00AF5CC7" w:rsidRPr="009A315E">
              <w:rPr>
                <w:szCs w:val="26"/>
                <w:lang w:val="ru-RU"/>
              </w:rPr>
              <w:t xml:space="preserve"> 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(далее — </w:t>
            </w:r>
            <w:r w:rsidR="00AF5CC7">
              <w:rPr>
                <w:sz w:val="25"/>
                <w:szCs w:val="25"/>
                <w:lang w:val="ru-RU"/>
              </w:rPr>
              <w:t>управление</w:t>
            </w:r>
            <w:r w:rsidR="008F550D" w:rsidRPr="00E87CCB">
              <w:rPr>
                <w:sz w:val="25"/>
                <w:szCs w:val="25"/>
                <w:lang w:val="ru-RU"/>
              </w:rPr>
              <w:t>) для подготовки заключения об оценке</w:t>
            </w:r>
            <w:proofErr w:type="gramEnd"/>
            <w:r w:rsidR="008F550D" w:rsidRPr="00E87CCB">
              <w:rPr>
                <w:sz w:val="25"/>
                <w:szCs w:val="25"/>
                <w:lang w:val="ru-RU"/>
              </w:rPr>
              <w:t xml:space="preserve"> регулирующего воздействия, и сообщает следующее.</w:t>
            </w:r>
          </w:p>
          <w:p w:rsidR="008F550D" w:rsidRPr="00E87CCB" w:rsidRDefault="00AF5CC7" w:rsidP="00D55E55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Управлением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проведены публичные консультации по обсуждению концепции правового регулирования с </w:t>
            </w:r>
            <w:r>
              <w:rPr>
                <w:sz w:val="25"/>
                <w:szCs w:val="25"/>
                <w:lang w:val="ru-RU"/>
              </w:rPr>
              <w:t>29 августа по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12 сентября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2014 г</w:t>
            </w:r>
            <w:r>
              <w:rPr>
                <w:sz w:val="25"/>
                <w:szCs w:val="25"/>
                <w:lang w:val="ru-RU"/>
              </w:rPr>
              <w:t>ода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, а также проекта закона и сводного отчета в срок с </w:t>
            </w:r>
            <w:r>
              <w:rPr>
                <w:sz w:val="25"/>
                <w:szCs w:val="25"/>
                <w:lang w:val="ru-RU"/>
              </w:rPr>
              <w:t xml:space="preserve">3 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по </w:t>
            </w:r>
            <w:r w:rsidR="000063E1" w:rsidRPr="00E87CCB"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  <w:lang w:val="ru-RU"/>
              </w:rPr>
              <w:t>3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ок</w:t>
            </w:r>
            <w:r w:rsidR="0064183A" w:rsidRPr="00E87CCB">
              <w:rPr>
                <w:sz w:val="25"/>
                <w:szCs w:val="25"/>
                <w:lang w:val="ru-RU"/>
              </w:rPr>
              <w:t>тября</w:t>
            </w:r>
            <w:r w:rsidR="008F550D" w:rsidRPr="00E87CCB">
              <w:rPr>
                <w:sz w:val="25"/>
                <w:szCs w:val="25"/>
                <w:lang w:val="ru-RU"/>
              </w:rPr>
              <w:t xml:space="preserve"> 2014 года.</w:t>
            </w:r>
          </w:p>
          <w:p w:rsidR="008F550D" w:rsidRPr="00E87CCB" w:rsidRDefault="008F550D" w:rsidP="00D55E55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 w:rsidRPr="00E87CCB">
              <w:rPr>
                <w:sz w:val="25"/>
                <w:szCs w:val="25"/>
                <w:lang w:val="ru-RU"/>
              </w:rPr>
              <w:t xml:space="preserve">Информация об оценке регулирующего воздействия проекта закона размещена на официальном </w:t>
            </w:r>
            <w:r w:rsidR="00A144E8" w:rsidRPr="00E87CCB">
              <w:rPr>
                <w:sz w:val="25"/>
                <w:szCs w:val="25"/>
                <w:lang w:val="ru-RU"/>
              </w:rPr>
              <w:t>сайте органов власти Калужской области</w:t>
            </w:r>
            <w:r w:rsidRPr="00E87CCB">
              <w:rPr>
                <w:sz w:val="25"/>
                <w:szCs w:val="25"/>
                <w:lang w:val="ru-RU"/>
              </w:rPr>
              <w:t xml:space="preserve"> по адресу:</w:t>
            </w:r>
          </w:p>
          <w:p w:rsidR="00AF5CC7" w:rsidRDefault="00AF5CC7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 w:rsidRPr="00AF5CC7">
              <w:rPr>
                <w:sz w:val="25"/>
                <w:szCs w:val="25"/>
              </w:rPr>
              <w:t>http</w:t>
            </w:r>
            <w:r w:rsidRPr="00AF5CC7">
              <w:rPr>
                <w:sz w:val="25"/>
                <w:szCs w:val="25"/>
                <w:lang w:val="ru-RU"/>
              </w:rPr>
              <w:t>://</w:t>
            </w:r>
            <w:r w:rsidRPr="00AF5CC7">
              <w:rPr>
                <w:sz w:val="25"/>
                <w:szCs w:val="25"/>
              </w:rPr>
              <w:t>www</w:t>
            </w:r>
            <w:r w:rsidRPr="00AF5CC7">
              <w:rPr>
                <w:sz w:val="25"/>
                <w:szCs w:val="25"/>
                <w:lang w:val="ru-RU"/>
              </w:rPr>
              <w:t>.</w:t>
            </w:r>
            <w:proofErr w:type="spellStart"/>
            <w:r w:rsidRPr="00AF5CC7">
              <w:rPr>
                <w:sz w:val="25"/>
                <w:szCs w:val="25"/>
              </w:rPr>
              <w:t>admoblkaluga</w:t>
            </w:r>
            <w:proofErr w:type="spellEnd"/>
            <w:r w:rsidRPr="00AF5CC7">
              <w:rPr>
                <w:sz w:val="25"/>
                <w:szCs w:val="25"/>
                <w:lang w:val="ru-RU"/>
              </w:rPr>
              <w:t>.</w:t>
            </w:r>
            <w:proofErr w:type="spellStart"/>
            <w:r w:rsidRPr="00AF5CC7">
              <w:rPr>
                <w:sz w:val="25"/>
                <w:szCs w:val="25"/>
              </w:rPr>
              <w:t>ru</w:t>
            </w:r>
            <w:proofErr w:type="spellEnd"/>
            <w:r w:rsidRPr="00AF5CC7">
              <w:rPr>
                <w:sz w:val="25"/>
                <w:szCs w:val="25"/>
                <w:lang w:val="ru-RU"/>
              </w:rPr>
              <w:t>/</w:t>
            </w:r>
            <w:r w:rsidRPr="00AF5CC7">
              <w:rPr>
                <w:sz w:val="25"/>
                <w:szCs w:val="25"/>
              </w:rPr>
              <w:t>sub</w:t>
            </w:r>
            <w:r w:rsidRPr="00AF5CC7">
              <w:rPr>
                <w:sz w:val="25"/>
                <w:szCs w:val="25"/>
                <w:lang w:val="ru-RU"/>
              </w:rPr>
              <w:t>/</w:t>
            </w:r>
            <w:proofErr w:type="spellStart"/>
            <w:r w:rsidRPr="00AF5CC7">
              <w:rPr>
                <w:sz w:val="25"/>
                <w:szCs w:val="25"/>
              </w:rPr>
              <w:t>evaluationNPA</w:t>
            </w:r>
            <w:proofErr w:type="spellEnd"/>
            <w:r w:rsidRPr="00AF5CC7">
              <w:rPr>
                <w:sz w:val="25"/>
                <w:szCs w:val="25"/>
                <w:lang w:val="ru-RU"/>
              </w:rPr>
              <w:t>/</w:t>
            </w:r>
            <w:r w:rsidRPr="00AF5CC7">
              <w:rPr>
                <w:sz w:val="25"/>
                <w:szCs w:val="25"/>
              </w:rPr>
              <w:t>evaluation</w:t>
            </w:r>
            <w:r w:rsidRPr="00AF5CC7">
              <w:rPr>
                <w:sz w:val="25"/>
                <w:szCs w:val="25"/>
                <w:lang w:val="ru-RU"/>
              </w:rPr>
              <w:t>/</w:t>
            </w:r>
            <w:r w:rsidRPr="00AF5CC7">
              <w:rPr>
                <w:sz w:val="25"/>
                <w:szCs w:val="25"/>
              </w:rPr>
              <w:t>consultation</w:t>
            </w:r>
            <w:r w:rsidRPr="00AF5CC7">
              <w:rPr>
                <w:sz w:val="25"/>
                <w:szCs w:val="25"/>
                <w:lang w:val="ru-RU"/>
              </w:rPr>
              <w:t>.</w:t>
            </w:r>
            <w:proofErr w:type="spellStart"/>
            <w:r w:rsidRPr="00AF5CC7">
              <w:rPr>
                <w:sz w:val="25"/>
                <w:szCs w:val="25"/>
              </w:rPr>
              <w:t>php</w:t>
            </w:r>
            <w:proofErr w:type="spellEnd"/>
            <w:r w:rsidRPr="00AF5CC7">
              <w:rPr>
                <w:sz w:val="25"/>
                <w:szCs w:val="25"/>
                <w:lang w:val="ru-RU"/>
              </w:rPr>
              <w:t xml:space="preserve"> </w:t>
            </w:r>
          </w:p>
          <w:p w:rsidR="00032134" w:rsidRDefault="00032134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В ходе публичных консультаций по концепции правового регулирования предложений не поступило.</w:t>
            </w:r>
          </w:p>
          <w:p w:rsidR="00823612" w:rsidRDefault="00967BC4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 w:rsidRPr="00E87CCB">
              <w:rPr>
                <w:sz w:val="25"/>
                <w:szCs w:val="25"/>
                <w:lang w:val="ru-RU"/>
              </w:rPr>
              <w:t xml:space="preserve">В ходе публичных консультаций </w:t>
            </w:r>
            <w:r w:rsidR="009A315E">
              <w:rPr>
                <w:sz w:val="25"/>
                <w:szCs w:val="25"/>
                <w:lang w:val="ru-RU"/>
              </w:rPr>
              <w:t xml:space="preserve">по проекту </w:t>
            </w:r>
            <w:r w:rsidR="00823612">
              <w:rPr>
                <w:sz w:val="25"/>
                <w:szCs w:val="25"/>
                <w:lang w:val="ru-RU"/>
              </w:rPr>
              <w:t xml:space="preserve">нормативного правового акта </w:t>
            </w:r>
            <w:r w:rsidR="00422E8C">
              <w:rPr>
                <w:sz w:val="25"/>
                <w:szCs w:val="25"/>
                <w:lang w:val="ru-RU"/>
              </w:rPr>
              <w:t xml:space="preserve">поступили </w:t>
            </w:r>
            <w:r w:rsidR="00823612">
              <w:rPr>
                <w:sz w:val="25"/>
                <w:szCs w:val="25"/>
                <w:lang w:val="ru-RU"/>
              </w:rPr>
              <w:t xml:space="preserve">следующие </w:t>
            </w:r>
            <w:r w:rsidR="00422E8C">
              <w:rPr>
                <w:sz w:val="25"/>
                <w:szCs w:val="25"/>
                <w:lang w:val="ru-RU"/>
              </w:rPr>
              <w:t>предложения</w:t>
            </w:r>
            <w:r w:rsidR="00823612">
              <w:rPr>
                <w:sz w:val="25"/>
                <w:szCs w:val="25"/>
                <w:lang w:val="ru-RU"/>
              </w:rPr>
              <w:t>:</w:t>
            </w:r>
          </w:p>
          <w:p w:rsidR="00823612" w:rsidRDefault="00823612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proofErr w:type="gramStart"/>
            <w:r>
              <w:rPr>
                <w:sz w:val="25"/>
                <w:szCs w:val="25"/>
                <w:lang w:val="ru-RU"/>
              </w:rPr>
              <w:t>-</w:t>
            </w:r>
            <w:r w:rsidR="00422E8C">
              <w:rPr>
                <w:sz w:val="25"/>
                <w:szCs w:val="25"/>
                <w:lang w:val="ru-RU"/>
              </w:rPr>
              <w:t xml:space="preserve"> </w:t>
            </w:r>
            <w:r w:rsidR="00967BC4" w:rsidRPr="00E87CCB">
              <w:rPr>
                <w:sz w:val="25"/>
                <w:szCs w:val="25"/>
                <w:lang w:val="ru-RU"/>
              </w:rPr>
              <w:t xml:space="preserve">от </w:t>
            </w:r>
            <w:r w:rsidR="00AF5CC7">
              <w:rPr>
                <w:sz w:val="25"/>
                <w:szCs w:val="25"/>
                <w:lang w:val="ru-RU"/>
              </w:rPr>
              <w:t>Регионального объединения работодателей «Калужское объединение промышленников и предпринимателей»</w:t>
            </w:r>
            <w:r w:rsidR="00967BC4" w:rsidRPr="00E87CCB">
              <w:rPr>
                <w:sz w:val="25"/>
                <w:szCs w:val="25"/>
                <w:lang w:val="ru-RU"/>
              </w:rPr>
              <w:t xml:space="preserve"> </w:t>
            </w:r>
            <w:r w:rsidR="00AF5CC7" w:rsidRPr="00032134">
              <w:rPr>
                <w:sz w:val="25"/>
                <w:szCs w:val="25"/>
                <w:lang w:val="ru-RU"/>
              </w:rPr>
              <w:t xml:space="preserve">о введении </w:t>
            </w:r>
            <w:r w:rsidR="00032134" w:rsidRPr="00032134">
              <w:rPr>
                <w:sz w:val="25"/>
                <w:szCs w:val="25"/>
                <w:lang w:val="ru-RU"/>
              </w:rPr>
              <w:t>«</w:t>
            </w:r>
            <w:r w:rsidR="00AF5CC7" w:rsidRPr="00032134">
              <w:rPr>
                <w:sz w:val="25"/>
                <w:szCs w:val="25"/>
                <w:lang w:val="ru-RU"/>
              </w:rPr>
              <w:t>комбинированной</w:t>
            </w:r>
            <w:r w:rsidR="00032134" w:rsidRPr="00032134">
              <w:rPr>
                <w:sz w:val="25"/>
                <w:szCs w:val="25"/>
                <w:lang w:val="ru-RU"/>
              </w:rPr>
              <w:t>»</w:t>
            </w:r>
            <w:r w:rsidR="00AF5CC7" w:rsidRPr="00032134">
              <w:rPr>
                <w:sz w:val="25"/>
                <w:szCs w:val="25"/>
                <w:lang w:val="ru-RU"/>
              </w:rPr>
              <w:t xml:space="preserve"> системы сбора денежных средств</w:t>
            </w:r>
            <w:r w:rsidRPr="00032134">
              <w:rPr>
                <w:sz w:val="25"/>
                <w:szCs w:val="25"/>
                <w:lang w:val="ru-RU"/>
              </w:rPr>
              <w:t xml:space="preserve"> </w:t>
            </w:r>
            <w:r w:rsidR="00032134" w:rsidRPr="00032134">
              <w:rPr>
                <w:sz w:val="25"/>
                <w:szCs w:val="25"/>
                <w:lang w:val="ru-RU"/>
              </w:rPr>
              <w:t>за транспортировку на спе</w:t>
            </w:r>
            <w:r w:rsidR="00032134">
              <w:rPr>
                <w:sz w:val="25"/>
                <w:szCs w:val="25"/>
                <w:lang w:val="ru-RU"/>
              </w:rPr>
              <w:t xml:space="preserve">циализированную стоянку </w:t>
            </w:r>
            <w:r>
              <w:rPr>
                <w:sz w:val="25"/>
                <w:szCs w:val="25"/>
                <w:lang w:val="ru-RU"/>
              </w:rPr>
              <w:t>(до 10 км пути, пройденного эвакуатором</w:t>
            </w:r>
            <w:r w:rsidR="001B11A5">
              <w:rPr>
                <w:sz w:val="25"/>
                <w:szCs w:val="25"/>
                <w:lang w:val="ru-RU"/>
              </w:rPr>
              <w:t>,</w:t>
            </w:r>
            <w:r>
              <w:rPr>
                <w:sz w:val="25"/>
                <w:szCs w:val="25"/>
                <w:lang w:val="ru-RU"/>
              </w:rPr>
              <w:t xml:space="preserve"> — 2000 рублей</w:t>
            </w:r>
            <w:r w:rsidR="001B11A5">
              <w:rPr>
                <w:sz w:val="25"/>
                <w:szCs w:val="25"/>
                <w:lang w:val="ru-RU"/>
              </w:rPr>
              <w:t>;</w:t>
            </w:r>
            <w:r>
              <w:rPr>
                <w:sz w:val="25"/>
                <w:szCs w:val="25"/>
                <w:lang w:val="ru-RU"/>
              </w:rPr>
              <w:t xml:space="preserve"> далее — согласно километражу из расчета 140 рублей </w:t>
            </w:r>
            <w:r w:rsidR="001B11A5">
              <w:rPr>
                <w:sz w:val="25"/>
                <w:szCs w:val="25"/>
                <w:lang w:val="ru-RU"/>
              </w:rPr>
              <w:t>для транспортных средств массой до 3,5 тонн; 8000 рублей — массой свыше 3,5 тонн, 14000 рублей — крупногабаритный транспорт).</w:t>
            </w:r>
            <w:proofErr w:type="gramEnd"/>
            <w:r w:rsidR="00032134">
              <w:rPr>
                <w:sz w:val="25"/>
                <w:szCs w:val="25"/>
                <w:lang w:val="ru-RU"/>
              </w:rPr>
              <w:t xml:space="preserve"> </w:t>
            </w:r>
            <w:r w:rsidR="001B11A5">
              <w:rPr>
                <w:sz w:val="25"/>
                <w:szCs w:val="25"/>
                <w:lang w:val="ru-RU"/>
              </w:rPr>
              <w:t>Данное предложение отклонено</w:t>
            </w:r>
            <w:r w:rsidR="00016DC7">
              <w:rPr>
                <w:sz w:val="25"/>
                <w:szCs w:val="25"/>
                <w:lang w:val="ru-RU"/>
              </w:rPr>
              <w:t xml:space="preserve"> </w:t>
            </w:r>
            <w:r w:rsidR="003C30F6">
              <w:rPr>
                <w:sz w:val="25"/>
                <w:szCs w:val="25"/>
                <w:lang w:val="ru-RU"/>
              </w:rPr>
              <w:t>управлением</w:t>
            </w:r>
            <w:r w:rsidR="00967BC4" w:rsidRPr="00E87CCB">
              <w:rPr>
                <w:sz w:val="25"/>
                <w:szCs w:val="25"/>
                <w:lang w:val="ru-RU"/>
              </w:rPr>
              <w:t xml:space="preserve"> </w:t>
            </w:r>
            <w:r w:rsidR="001B11A5">
              <w:rPr>
                <w:sz w:val="25"/>
                <w:szCs w:val="25"/>
                <w:lang w:val="ru-RU"/>
              </w:rPr>
              <w:t xml:space="preserve">как </w:t>
            </w:r>
            <w:r w:rsidR="00016DC7">
              <w:rPr>
                <w:sz w:val="25"/>
                <w:szCs w:val="25"/>
                <w:lang w:val="ru-RU"/>
              </w:rPr>
              <w:t>неподтвержд</w:t>
            </w:r>
            <w:r w:rsidR="001B11A5">
              <w:rPr>
                <w:sz w:val="25"/>
                <w:szCs w:val="25"/>
                <w:lang w:val="ru-RU"/>
              </w:rPr>
              <w:t xml:space="preserve">енное </w:t>
            </w:r>
            <w:r w:rsidR="00016DC7">
              <w:rPr>
                <w:sz w:val="25"/>
                <w:szCs w:val="25"/>
                <w:lang w:val="ru-RU"/>
              </w:rPr>
              <w:t>расчетами</w:t>
            </w:r>
            <w:r w:rsidR="00032134">
              <w:rPr>
                <w:sz w:val="25"/>
                <w:szCs w:val="25"/>
                <w:lang w:val="ru-RU"/>
              </w:rPr>
              <w:t>;</w:t>
            </w:r>
            <w:r>
              <w:rPr>
                <w:sz w:val="25"/>
                <w:szCs w:val="25"/>
                <w:lang w:val="ru-RU"/>
              </w:rPr>
              <w:t xml:space="preserve"> </w:t>
            </w:r>
          </w:p>
          <w:p w:rsidR="00823612" w:rsidRDefault="00823612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- от Калужской торгово-промышленной палаты об установлении преференций (налоги, аренда, субсидии)</w:t>
            </w:r>
            <w:r w:rsidR="00032134">
              <w:rPr>
                <w:sz w:val="25"/>
                <w:szCs w:val="25"/>
                <w:lang w:val="ru-RU"/>
              </w:rPr>
              <w:t>.</w:t>
            </w:r>
            <w:r>
              <w:rPr>
                <w:sz w:val="25"/>
                <w:szCs w:val="25"/>
                <w:lang w:val="ru-RU"/>
              </w:rPr>
              <w:t xml:space="preserve"> </w:t>
            </w:r>
            <w:r w:rsidR="00032134">
              <w:rPr>
                <w:sz w:val="25"/>
                <w:szCs w:val="25"/>
                <w:lang w:val="ru-RU"/>
              </w:rPr>
              <w:t>Данное предложение</w:t>
            </w:r>
            <w:r>
              <w:rPr>
                <w:sz w:val="25"/>
                <w:szCs w:val="25"/>
                <w:lang w:val="ru-RU"/>
              </w:rPr>
              <w:t xml:space="preserve"> отклонено </w:t>
            </w:r>
            <w:r w:rsidR="003C30F6">
              <w:rPr>
                <w:sz w:val="25"/>
                <w:szCs w:val="25"/>
                <w:lang w:val="ru-RU"/>
              </w:rPr>
              <w:t>управлением</w:t>
            </w:r>
            <w:r>
              <w:rPr>
                <w:sz w:val="25"/>
                <w:szCs w:val="25"/>
                <w:lang w:val="ru-RU"/>
              </w:rPr>
              <w:t>, как не соответствующее предмету правового регулирования.</w:t>
            </w:r>
          </w:p>
          <w:p w:rsidR="00F646C3" w:rsidRDefault="00967BC4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  <w:r w:rsidRPr="00E87CCB">
              <w:rPr>
                <w:sz w:val="25"/>
                <w:szCs w:val="25"/>
                <w:lang w:val="ru-RU"/>
              </w:rPr>
              <w:t>Других замечаний и предложений</w:t>
            </w:r>
            <w:r w:rsidR="00D566F0" w:rsidRPr="00E87CCB">
              <w:rPr>
                <w:sz w:val="25"/>
                <w:szCs w:val="25"/>
                <w:lang w:val="ru-RU"/>
              </w:rPr>
              <w:t xml:space="preserve"> по концепции </w:t>
            </w:r>
            <w:r w:rsidR="005716C3" w:rsidRPr="00E87CCB">
              <w:rPr>
                <w:sz w:val="25"/>
                <w:szCs w:val="25"/>
                <w:lang w:val="ru-RU"/>
              </w:rPr>
              <w:t xml:space="preserve">и </w:t>
            </w:r>
            <w:r w:rsidR="00F646C3" w:rsidRPr="00E87CCB">
              <w:rPr>
                <w:sz w:val="25"/>
                <w:szCs w:val="25"/>
                <w:lang w:val="ru-RU"/>
              </w:rPr>
              <w:t xml:space="preserve">проекту нормативного правового акта </w:t>
            </w:r>
            <w:r w:rsidR="005716C3" w:rsidRPr="00E87CCB">
              <w:rPr>
                <w:sz w:val="25"/>
                <w:szCs w:val="25"/>
                <w:lang w:val="ru-RU"/>
              </w:rPr>
              <w:t>в ходе публичных консультаций не поступило.</w:t>
            </w:r>
          </w:p>
          <w:p w:rsidR="00032134" w:rsidRPr="00E87CCB" w:rsidRDefault="00032134" w:rsidP="00D566F0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</w:p>
          <w:p w:rsidR="00F646C3" w:rsidRPr="00E87CCB" w:rsidRDefault="00F646C3" w:rsidP="00D55E55">
            <w:pPr>
              <w:widowControl w:val="0"/>
              <w:ind w:right="113" w:firstLine="709"/>
              <w:jc w:val="both"/>
              <w:rPr>
                <w:sz w:val="25"/>
                <w:szCs w:val="25"/>
                <w:lang w:val="ru-RU"/>
              </w:rPr>
            </w:pPr>
          </w:p>
          <w:p w:rsidR="000063E1" w:rsidRDefault="000063E1" w:rsidP="00D55E55">
            <w:pPr>
              <w:pStyle w:val="a3"/>
              <w:ind w:left="709" w:right="113"/>
              <w:jc w:val="both"/>
              <w:rPr>
                <w:sz w:val="25"/>
                <w:szCs w:val="25"/>
              </w:rPr>
            </w:pPr>
            <w:r w:rsidRPr="00E87CCB">
              <w:rPr>
                <w:b/>
                <w:sz w:val="25"/>
                <w:szCs w:val="25"/>
              </w:rPr>
              <w:lastRenderedPageBreak/>
              <w:t>Описание предлагаемого правового регулирования</w:t>
            </w:r>
            <w:r w:rsidRPr="00E87CCB">
              <w:rPr>
                <w:sz w:val="25"/>
                <w:szCs w:val="25"/>
              </w:rPr>
              <w:t>:</w:t>
            </w:r>
          </w:p>
          <w:p w:rsidR="00454144" w:rsidRPr="00FF51D9" w:rsidRDefault="00454144" w:rsidP="004541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12D6">
              <w:rPr>
                <w:rFonts w:ascii="Times New Roman" w:hAnsi="Times New Roman" w:cs="Times New Roman"/>
                <w:sz w:val="26"/>
                <w:szCs w:val="26"/>
              </w:rPr>
              <w:t xml:space="preserve">По предварительным расчетам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212D6">
              <w:rPr>
                <w:rFonts w:ascii="Times New Roman" w:hAnsi="Times New Roman" w:cs="Times New Roman"/>
                <w:sz w:val="26"/>
                <w:szCs w:val="26"/>
              </w:rPr>
              <w:t>инистерства тарифного регулирования Калужской области при установлении фиксированного размера платы за перемещение 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12D6">
              <w:rPr>
                <w:rFonts w:ascii="Times New Roman" w:hAnsi="Times New Roman" w:cs="Times New Roman"/>
                <w:sz w:val="26"/>
                <w:szCs w:val="26"/>
              </w:rPr>
              <w:t xml:space="preserve"> размер платы в зависимости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эвакуируемого </w:t>
            </w:r>
            <w:r w:rsidRPr="004212D6">
              <w:rPr>
                <w:rFonts w:ascii="Times New Roman" w:hAnsi="Times New Roman" w:cs="Times New Roman"/>
                <w:sz w:val="26"/>
                <w:szCs w:val="26"/>
              </w:rPr>
              <w:t>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от 3000 до 21 тысячи рублей (при эвакуации транспорта массой до 3,5 тонн (включительно) – 3000 рублей, свыше 3,5 тонн – 12000 рублей, за эвакуацию крупногабаритного транспорта – 21000 рублей).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Очевидно, что фиксированный размер платы будет способствовать привлечению хозяйствующих субъектов в небольших населенных </w:t>
            </w:r>
            <w:proofErr w:type="gramStart"/>
            <w:r w:rsidRPr="00FF51D9">
              <w:rPr>
                <w:rFonts w:ascii="Times New Roman" w:hAnsi="Times New Roman" w:cs="Times New Roman"/>
                <w:sz w:val="26"/>
                <w:szCs w:val="26"/>
              </w:rPr>
              <w:t>пунктах</w:t>
            </w:r>
            <w:proofErr w:type="gramEnd"/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к деятельности по перемещению задержанного транспорта. </w:t>
            </w:r>
          </w:p>
          <w:p w:rsidR="00454144" w:rsidRPr="00FF51D9" w:rsidRDefault="00454144" w:rsidP="004541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В то же время полный отказ от существующей системы расчета платы за перемещение задержанного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может 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>существенным образом ущемит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интересы те</w:t>
            </w:r>
            <w:r w:rsidR="00110318">
              <w:rPr>
                <w:rFonts w:ascii="Times New Roman" w:hAnsi="Times New Roman" w:cs="Times New Roman"/>
                <w:sz w:val="26"/>
                <w:szCs w:val="26"/>
              </w:rPr>
              <w:t xml:space="preserve">х хозяйствующих субъектов, для 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>которых данная деятельность в условиях крупных населенных пунктов является рентабельной.</w:t>
            </w:r>
          </w:p>
          <w:p w:rsidR="00454144" w:rsidRPr="00FF51D9" w:rsidRDefault="00903F1D" w:rsidP="004541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Выходом из сложившейся ситуации</w:t>
            </w:r>
            <w:r w:rsidR="00454144"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введение альтернативной системы расчета платы за перемещение задержанного транспорта, которая позволит хозяйствующим субъектам, занятым в сфере перемещения, по своему усмотрению избрать для себя наиболее выгодные условия работы. </w:t>
            </w:r>
          </w:p>
          <w:p w:rsidR="00454144" w:rsidRPr="004212D6" w:rsidRDefault="00454144" w:rsidP="004541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>Законопроектом предусмотрена возможность перех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 хозяйствующими субъектами 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с одной системы расчета платы на другую в </w:t>
            </w:r>
            <w:proofErr w:type="gramStart"/>
            <w:r w:rsidRPr="00FF51D9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и сроках</w:t>
            </w:r>
            <w:r w:rsidR="00903F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устанавливаем</w:t>
            </w:r>
            <w:r w:rsidR="0003213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уполномоченным органом в сфере тарифного регулирования.</w:t>
            </w:r>
          </w:p>
          <w:p w:rsidR="00D55E55" w:rsidRPr="00E87CCB" w:rsidRDefault="00E947D4" w:rsidP="00D55E55">
            <w:pPr>
              <w:widowControl w:val="0"/>
              <w:tabs>
                <w:tab w:val="left" w:pos="567"/>
              </w:tabs>
              <w:spacing w:before="120"/>
              <w:ind w:firstLine="709"/>
              <w:jc w:val="both"/>
              <w:rPr>
                <w:sz w:val="25"/>
                <w:szCs w:val="25"/>
                <w:lang w:val="ru-RU"/>
              </w:rPr>
            </w:pPr>
            <w:r w:rsidRPr="00E87CCB">
              <w:rPr>
                <w:b/>
                <w:sz w:val="25"/>
                <w:szCs w:val="25"/>
                <w:lang w:val="ru-RU"/>
              </w:rPr>
              <w:t>Проблема, на решение которой направлен способ предлагаемого правового регулирования</w:t>
            </w:r>
            <w:r w:rsidRPr="00E87CCB">
              <w:rPr>
                <w:sz w:val="25"/>
                <w:szCs w:val="25"/>
                <w:lang w:val="ru-RU"/>
              </w:rPr>
              <w:t>:</w:t>
            </w:r>
            <w:r w:rsidR="00D55E55" w:rsidRPr="00E87CCB">
              <w:rPr>
                <w:sz w:val="25"/>
                <w:szCs w:val="25"/>
                <w:lang w:val="ru-RU"/>
              </w:rPr>
              <w:t xml:space="preserve"> </w:t>
            </w:r>
          </w:p>
          <w:p w:rsidR="00026EC8" w:rsidRPr="00264047" w:rsidRDefault="00026EC8" w:rsidP="00026EC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4047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 Калужской области имеет место нехватка эвакуаторов для перемещения задержанных транспортных средств на </w:t>
            </w:r>
            <w:r w:rsidRPr="00A10810">
              <w:rPr>
                <w:rFonts w:ascii="Times New Roman" w:hAnsi="Times New Roman" w:cs="Times New Roman"/>
                <w:sz w:val="26"/>
                <w:szCs w:val="26"/>
              </w:rPr>
              <w:t>специализированны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0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стоянки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26EC8" w:rsidRDefault="00026EC8" w:rsidP="00026EC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Причиной нехватки эвакуаторов является отсутствие заинтересованности хозяйствующих субъектов в участии в деятельности по перемещению зад</w:t>
            </w:r>
            <w:r w:rsidR="00C14356">
              <w:rPr>
                <w:rFonts w:ascii="Times New Roman" w:hAnsi="Times New Roman" w:cs="Times New Roman"/>
                <w:sz w:val="26"/>
                <w:szCs w:val="26"/>
              </w:rPr>
              <w:t>ержанных транспортных сре</w:t>
            </w:r>
            <w:proofErr w:type="gramStart"/>
            <w:r w:rsidR="00C14356">
              <w:rPr>
                <w:rFonts w:ascii="Times New Roman" w:hAnsi="Times New Roman" w:cs="Times New Roman"/>
                <w:sz w:val="26"/>
                <w:szCs w:val="26"/>
              </w:rPr>
              <w:t>дств в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64047">
              <w:rPr>
                <w:rFonts w:ascii="Times New Roman" w:hAnsi="Times New Roman" w:cs="Times New Roman"/>
                <w:sz w:val="26"/>
                <w:szCs w:val="26"/>
              </w:rPr>
              <w:t xml:space="preserve">иду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её 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низкой рентабельности</w:t>
            </w:r>
            <w:r w:rsidR="00C143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A7E">
              <w:rPr>
                <w:rFonts w:ascii="Times New Roman" w:hAnsi="Times New Roman" w:cs="Times New Roman"/>
                <w:sz w:val="26"/>
                <w:szCs w:val="26"/>
              </w:rPr>
              <w:t xml:space="preserve">расчет платы за перемещение задержанного транспортного средства осуществляется с километра пути, пройденного эвакуатором </w:t>
            </w:r>
            <w:r w:rsidR="00C1435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законодательством </w:t>
            </w:r>
            <w:r w:rsidR="00C14356" w:rsidRPr="00C15C00">
              <w:rPr>
                <w:rFonts w:ascii="Times New Roman" w:hAnsi="Times New Roman" w:cs="Times New Roman"/>
                <w:sz w:val="26"/>
                <w:szCs w:val="26"/>
              </w:rPr>
              <w:t>задержанный транспорт перемещается на ближа</w:t>
            </w:r>
            <w:r w:rsidR="00C14356">
              <w:rPr>
                <w:rFonts w:ascii="Times New Roman" w:hAnsi="Times New Roman" w:cs="Times New Roman"/>
                <w:sz w:val="26"/>
                <w:szCs w:val="26"/>
              </w:rPr>
              <w:t>йшую специализированную стоянку.</w:t>
            </w:r>
          </w:p>
          <w:p w:rsidR="00026EC8" w:rsidRDefault="00026EC8" w:rsidP="00384C70">
            <w:pPr>
              <w:pStyle w:val="ConsPlusNormal"/>
              <w:ind w:firstLine="539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километр пройденного пути,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</w:t>
            </w:r>
            <w:r w:rsidR="00FA6D3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предпринимательской деятельности</w:t>
            </w:r>
            <w:r w:rsidR="00FA6D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олеблется от 106 до 169 рублей (разница обусловлена 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>качеств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6404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организационной и материально-технической базы предприятия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расходами на ее содержание). В</w:t>
            </w:r>
            <w:r w:rsidRPr="00FF51D9">
              <w:rPr>
                <w:rFonts w:ascii="Times New Roman" w:hAnsi="Times New Roman" w:cs="Times New Roman"/>
                <w:sz w:val="26"/>
                <w:szCs w:val="26"/>
              </w:rPr>
              <w:t xml:space="preserve"> условиях небольших населенных пунктов, где общий пробег эвакуатора зачастую не превышает 10 км такая деятельность для отдельных субъектов предпринимательской деятельности, занятых в сфере  перемещения задержанного транспорта, становится нерентабельной.</w:t>
            </w:r>
          </w:p>
          <w:p w:rsidR="00B1799D" w:rsidRPr="00E87CCB" w:rsidRDefault="00B1799D" w:rsidP="00D55E55">
            <w:pPr>
              <w:pStyle w:val="a3"/>
              <w:ind w:left="709"/>
              <w:jc w:val="both"/>
              <w:rPr>
                <w:b/>
                <w:sz w:val="25"/>
                <w:szCs w:val="25"/>
              </w:rPr>
            </w:pPr>
          </w:p>
          <w:p w:rsidR="00D55E55" w:rsidRDefault="00D55E55" w:rsidP="00D55E55">
            <w:pPr>
              <w:pStyle w:val="a3"/>
              <w:ind w:left="709"/>
              <w:jc w:val="both"/>
              <w:rPr>
                <w:sz w:val="25"/>
                <w:szCs w:val="25"/>
              </w:rPr>
            </w:pPr>
            <w:r w:rsidRPr="00E87CCB">
              <w:rPr>
                <w:b/>
                <w:sz w:val="25"/>
                <w:szCs w:val="25"/>
              </w:rPr>
              <w:t>Обоснование целей предлагаемого правового регулирования</w:t>
            </w:r>
            <w:r w:rsidR="00110318">
              <w:rPr>
                <w:sz w:val="25"/>
                <w:szCs w:val="25"/>
              </w:rPr>
              <w:t>.</w:t>
            </w:r>
          </w:p>
          <w:p w:rsidR="00384C70" w:rsidRPr="00384C70" w:rsidRDefault="00384C70" w:rsidP="00FA6D37">
            <w:pPr>
              <w:ind w:firstLine="681"/>
              <w:jc w:val="both"/>
              <w:rPr>
                <w:rFonts w:eastAsia="Calibri"/>
                <w:szCs w:val="26"/>
                <w:lang w:val="ru-RU" w:eastAsia="en-US"/>
              </w:rPr>
            </w:pPr>
            <w:r w:rsidRPr="00384C70">
              <w:rPr>
                <w:rFonts w:eastAsia="Calibri"/>
                <w:szCs w:val="26"/>
                <w:lang w:val="ru-RU" w:eastAsia="en-US"/>
              </w:rPr>
              <w:t>Создание на территории Калужской области эффективной системы эвакуации задержанных транспортных средств и их хранения на специализированных стоянках.</w:t>
            </w:r>
          </w:p>
          <w:p w:rsidR="00FA6D37" w:rsidRDefault="00FA6D37" w:rsidP="00D55E55">
            <w:pPr>
              <w:ind w:firstLine="709"/>
              <w:jc w:val="both"/>
              <w:rPr>
                <w:b/>
                <w:sz w:val="25"/>
                <w:szCs w:val="25"/>
                <w:lang w:val="ru-RU"/>
              </w:rPr>
            </w:pPr>
          </w:p>
          <w:p w:rsidR="00D55E55" w:rsidRPr="00E87CCB" w:rsidRDefault="00D55E55" w:rsidP="00D55E55">
            <w:pPr>
              <w:ind w:firstLine="709"/>
              <w:jc w:val="both"/>
              <w:rPr>
                <w:sz w:val="25"/>
                <w:szCs w:val="25"/>
                <w:lang w:val="ru-RU"/>
              </w:rPr>
            </w:pPr>
            <w:r w:rsidRPr="00E87CCB">
              <w:rPr>
                <w:b/>
                <w:sz w:val="25"/>
                <w:szCs w:val="25"/>
                <w:lang w:val="ru-RU"/>
              </w:rPr>
              <w:t xml:space="preserve">Позиция министерства экономического развития </w:t>
            </w:r>
            <w:proofErr w:type="gramStart"/>
            <w:r w:rsidRPr="00E87CCB">
              <w:rPr>
                <w:b/>
                <w:sz w:val="25"/>
                <w:szCs w:val="25"/>
                <w:lang w:val="ru-RU"/>
              </w:rPr>
              <w:t>Калужской</w:t>
            </w:r>
            <w:proofErr w:type="gramEnd"/>
            <w:r w:rsidRPr="00E87CCB">
              <w:rPr>
                <w:b/>
                <w:sz w:val="25"/>
                <w:szCs w:val="25"/>
                <w:lang w:val="ru-RU"/>
              </w:rPr>
              <w:t xml:space="preserve"> области относительно обоснований выбора предлагаемого правового регулирования</w:t>
            </w:r>
            <w:r w:rsidR="009A315E">
              <w:rPr>
                <w:b/>
                <w:sz w:val="25"/>
                <w:szCs w:val="25"/>
                <w:lang w:val="ru-RU"/>
              </w:rPr>
              <w:t>.</w:t>
            </w:r>
          </w:p>
          <w:p w:rsidR="00F646C3" w:rsidRDefault="009A315E" w:rsidP="009A315E">
            <w:pPr>
              <w:ind w:right="113" w:firstLine="681"/>
              <w:jc w:val="both"/>
              <w:rPr>
                <w:szCs w:val="26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</w:t>
            </w:r>
            <w:r w:rsidR="00D55E55" w:rsidRPr="00E87CCB">
              <w:rPr>
                <w:sz w:val="25"/>
                <w:szCs w:val="25"/>
                <w:lang w:val="ru-RU"/>
              </w:rPr>
              <w:t xml:space="preserve">о итогам оценки регулирующего воздействия проекта закона считаем, что вариант правового регулирования, предложенный </w:t>
            </w:r>
            <w:r w:rsidR="00A27586" w:rsidRPr="00A27586">
              <w:rPr>
                <w:szCs w:val="26"/>
                <w:lang w:val="ru-RU"/>
              </w:rPr>
              <w:t>управлением</w:t>
            </w:r>
            <w:r w:rsidR="00FA6D37">
              <w:rPr>
                <w:szCs w:val="26"/>
                <w:lang w:val="ru-RU"/>
              </w:rPr>
              <w:t>,</w:t>
            </w:r>
            <w:r w:rsidR="00A27586" w:rsidRPr="00A27586">
              <w:rPr>
                <w:szCs w:val="26"/>
                <w:lang w:val="ru-RU"/>
              </w:rPr>
              <w:t xml:space="preserve"> </w:t>
            </w:r>
            <w:r w:rsidR="00D55E55" w:rsidRPr="00E87CCB">
              <w:rPr>
                <w:sz w:val="25"/>
                <w:szCs w:val="25"/>
                <w:lang w:val="ru-RU"/>
              </w:rPr>
              <w:t>обоснован</w:t>
            </w:r>
            <w:r>
              <w:rPr>
                <w:sz w:val="25"/>
                <w:szCs w:val="25"/>
                <w:lang w:val="ru-RU"/>
              </w:rPr>
              <w:t>:</w:t>
            </w:r>
            <w:r w:rsidR="00A27586" w:rsidRPr="004A10A6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н</w:t>
            </w:r>
            <w:r w:rsidR="004A10A6">
              <w:rPr>
                <w:szCs w:val="26"/>
                <w:lang w:val="ru-RU"/>
              </w:rPr>
              <w:t>е отменяя</w:t>
            </w:r>
            <w:r w:rsidR="004A10A6" w:rsidRPr="004A10A6">
              <w:rPr>
                <w:szCs w:val="26"/>
                <w:lang w:val="ru-RU"/>
              </w:rPr>
              <w:t xml:space="preserve"> существующее нормативное правовое регулирование, </w:t>
            </w:r>
            <w:r w:rsidR="004A10A6">
              <w:rPr>
                <w:szCs w:val="26"/>
                <w:lang w:val="ru-RU"/>
              </w:rPr>
              <w:t xml:space="preserve">он </w:t>
            </w:r>
            <w:r w:rsidR="004A10A6" w:rsidRPr="004A10A6">
              <w:rPr>
                <w:szCs w:val="26"/>
                <w:lang w:val="ru-RU"/>
              </w:rPr>
              <w:t>вводит дополнительный правовой механизм, который дает участнику рынка возможность выбора наиболее выгодной для себя модели.</w:t>
            </w:r>
            <w:r w:rsidR="004A10A6" w:rsidRPr="00375C0C">
              <w:rPr>
                <w:szCs w:val="26"/>
                <w:lang w:val="ru-RU"/>
              </w:rPr>
              <w:t xml:space="preserve"> </w:t>
            </w:r>
          </w:p>
          <w:p w:rsidR="00FA6D37" w:rsidRDefault="00FA6D37" w:rsidP="009A315E">
            <w:pPr>
              <w:ind w:right="113" w:firstLine="681"/>
              <w:jc w:val="both"/>
              <w:rPr>
                <w:szCs w:val="26"/>
                <w:lang w:val="ru-RU"/>
              </w:rPr>
            </w:pPr>
          </w:p>
          <w:p w:rsidR="00FA6D37" w:rsidRDefault="00FA6D37" w:rsidP="009A315E">
            <w:pPr>
              <w:ind w:right="113" w:firstLine="681"/>
              <w:jc w:val="both"/>
              <w:rPr>
                <w:szCs w:val="26"/>
                <w:lang w:val="ru-RU"/>
              </w:rPr>
            </w:pPr>
          </w:p>
          <w:p w:rsidR="009A315E" w:rsidRPr="00E87CCB" w:rsidRDefault="009A315E" w:rsidP="004A10A6">
            <w:pPr>
              <w:ind w:right="113"/>
              <w:jc w:val="both"/>
              <w:rPr>
                <w:sz w:val="25"/>
                <w:szCs w:val="25"/>
                <w:lang w:val="ru-RU"/>
              </w:rPr>
            </w:pPr>
          </w:p>
          <w:p w:rsidR="005716C3" w:rsidRPr="00E87CCB" w:rsidRDefault="005716C3" w:rsidP="005716C3">
            <w:pPr>
              <w:ind w:firstLine="709"/>
              <w:jc w:val="both"/>
              <w:rPr>
                <w:b/>
                <w:sz w:val="25"/>
                <w:szCs w:val="25"/>
                <w:lang w:val="ru-RU"/>
              </w:rPr>
            </w:pPr>
            <w:r w:rsidRPr="00E87CCB">
              <w:rPr>
                <w:b/>
                <w:sz w:val="25"/>
                <w:szCs w:val="25"/>
                <w:lang w:val="ru-RU"/>
              </w:rPr>
              <w:t xml:space="preserve">Соблюдение </w:t>
            </w:r>
            <w:r w:rsidR="00FA6D37">
              <w:rPr>
                <w:b/>
                <w:sz w:val="25"/>
                <w:szCs w:val="25"/>
                <w:lang w:val="ru-RU"/>
              </w:rPr>
              <w:t xml:space="preserve">управлением </w:t>
            </w:r>
            <w:r w:rsidRPr="00E87CCB">
              <w:rPr>
                <w:b/>
                <w:sz w:val="25"/>
                <w:szCs w:val="25"/>
                <w:lang w:val="ru-RU"/>
              </w:rPr>
              <w:t>Положения о порядке проведения оценки регулирующего воздействия</w:t>
            </w:r>
            <w:r w:rsidR="00FA6D37">
              <w:rPr>
                <w:b/>
                <w:sz w:val="25"/>
                <w:szCs w:val="25"/>
                <w:lang w:val="ru-RU"/>
              </w:rPr>
              <w:t>.</w:t>
            </w:r>
          </w:p>
          <w:p w:rsidR="005716C3" w:rsidRDefault="00FA6D37" w:rsidP="005716C3">
            <w:pPr>
              <w:ind w:firstLine="709"/>
              <w:jc w:val="both"/>
              <w:rPr>
                <w:sz w:val="25"/>
                <w:szCs w:val="25"/>
                <w:lang w:val="ru-RU"/>
              </w:rPr>
            </w:pPr>
            <w:proofErr w:type="gramStart"/>
            <w:r>
              <w:rPr>
                <w:sz w:val="25"/>
                <w:szCs w:val="25"/>
                <w:lang w:val="ru-RU"/>
              </w:rPr>
              <w:t>П</w:t>
            </w:r>
            <w:r w:rsidR="005716C3" w:rsidRPr="00E87CCB">
              <w:rPr>
                <w:sz w:val="25"/>
                <w:szCs w:val="25"/>
                <w:lang w:val="ru-RU"/>
              </w:rPr>
              <w:t>роцедуры, предусмотренные разделами 2-3 Положения Калужской области</w:t>
            </w:r>
            <w:r>
              <w:rPr>
                <w:sz w:val="25"/>
                <w:szCs w:val="25"/>
                <w:lang w:val="ru-RU"/>
              </w:rPr>
              <w:t>,</w:t>
            </w:r>
            <w:r w:rsidR="005716C3" w:rsidRPr="00E87CCB">
              <w:rPr>
                <w:sz w:val="25"/>
                <w:szCs w:val="25"/>
                <w:lang w:val="ru-RU"/>
              </w:rPr>
              <w:t xml:space="preserve"> соблюдены.</w:t>
            </w:r>
            <w:proofErr w:type="gramEnd"/>
            <w:r w:rsidR="005716C3" w:rsidRPr="00E87CCB">
              <w:rPr>
                <w:sz w:val="25"/>
                <w:szCs w:val="25"/>
                <w:lang w:val="ru-RU"/>
              </w:rPr>
              <w:t xml:space="preserve"> Проект закона направлен </w:t>
            </w:r>
            <w:r w:rsidR="00B72F34" w:rsidRPr="00A27586">
              <w:rPr>
                <w:szCs w:val="26"/>
                <w:lang w:val="ru-RU"/>
              </w:rPr>
              <w:t xml:space="preserve">управлением </w:t>
            </w:r>
            <w:r w:rsidR="005716C3" w:rsidRPr="00E87CCB">
              <w:rPr>
                <w:sz w:val="25"/>
                <w:szCs w:val="25"/>
                <w:lang w:val="ru-RU"/>
              </w:rPr>
              <w:t>для подготовки настоящего заключения впервые.</w:t>
            </w:r>
          </w:p>
          <w:p w:rsidR="009A315E" w:rsidRPr="00E87CCB" w:rsidRDefault="009A315E" w:rsidP="005716C3">
            <w:pPr>
              <w:ind w:firstLine="709"/>
              <w:jc w:val="both"/>
              <w:rPr>
                <w:sz w:val="25"/>
                <w:szCs w:val="25"/>
                <w:lang w:val="ru-RU"/>
              </w:rPr>
            </w:pPr>
          </w:p>
          <w:p w:rsidR="005716C3" w:rsidRPr="00E87CCB" w:rsidRDefault="005716C3" w:rsidP="005716C3">
            <w:pPr>
              <w:ind w:firstLine="709"/>
              <w:jc w:val="both"/>
              <w:rPr>
                <w:b/>
                <w:sz w:val="25"/>
                <w:szCs w:val="25"/>
                <w:lang w:val="ru-RU"/>
              </w:rPr>
            </w:pPr>
            <w:r w:rsidRPr="00E87CCB">
              <w:rPr>
                <w:b/>
                <w:sz w:val="25"/>
                <w:szCs w:val="25"/>
                <w:lang w:val="ru-RU"/>
              </w:rPr>
              <w:t xml:space="preserve">Выводы по результатам </w:t>
            </w:r>
            <w:proofErr w:type="gramStart"/>
            <w:r w:rsidRPr="00E87CCB">
              <w:rPr>
                <w:b/>
                <w:sz w:val="25"/>
                <w:szCs w:val="25"/>
                <w:lang w:val="ru-RU"/>
              </w:rPr>
              <w:t>проведения оценки регулирующего воздействия проекта закона</w:t>
            </w:r>
            <w:proofErr w:type="gramEnd"/>
          </w:p>
          <w:p w:rsidR="003F1C5C" w:rsidRPr="00902E70" w:rsidRDefault="005716C3" w:rsidP="00902E70">
            <w:pPr>
              <w:ind w:firstLine="709"/>
              <w:jc w:val="both"/>
              <w:rPr>
                <w:sz w:val="25"/>
                <w:szCs w:val="25"/>
                <w:lang w:val="ru-RU"/>
              </w:rPr>
            </w:pPr>
            <w:r w:rsidRPr="00E87CCB">
              <w:rPr>
                <w:sz w:val="25"/>
                <w:szCs w:val="25"/>
                <w:lang w:val="ru-RU"/>
              </w:rPr>
              <w:t>По результатам проведенной оценки регулирующего воздействия министерство экономического развития Калужской области считает</w:t>
            </w:r>
            <w:r w:rsidR="00902E70">
              <w:rPr>
                <w:sz w:val="25"/>
                <w:szCs w:val="25"/>
                <w:lang w:val="ru-RU"/>
              </w:rPr>
              <w:t>, что</w:t>
            </w:r>
            <w:r w:rsidRPr="00E87CCB">
              <w:rPr>
                <w:sz w:val="25"/>
                <w:szCs w:val="25"/>
                <w:lang w:val="ru-RU"/>
              </w:rPr>
              <w:t xml:space="preserve"> </w:t>
            </w:r>
            <w:r w:rsidR="00B91E49" w:rsidRPr="00902E70">
              <w:rPr>
                <w:sz w:val="25"/>
                <w:szCs w:val="25"/>
                <w:lang w:val="ru-RU"/>
              </w:rPr>
              <w:t>п</w:t>
            </w:r>
            <w:r w:rsidR="009A315E" w:rsidRPr="00902E70">
              <w:rPr>
                <w:sz w:val="25"/>
                <w:szCs w:val="25"/>
                <w:lang w:val="ru-RU"/>
              </w:rPr>
              <w:t>роект Закона не содержит положений, затрудняющих осуществление предпринимательской деятельности. Напротив, он расширяет права предпринимателей, осуществляющих эвакуацию задержанного транспорта</w:t>
            </w:r>
            <w:r w:rsidR="00902E70">
              <w:rPr>
                <w:sz w:val="25"/>
                <w:szCs w:val="25"/>
                <w:lang w:val="ru-RU"/>
              </w:rPr>
              <w:t xml:space="preserve"> на специализированные стоянки,</w:t>
            </w:r>
            <w:r w:rsidR="00B91E49" w:rsidRPr="00902E70">
              <w:rPr>
                <w:sz w:val="25"/>
                <w:szCs w:val="25"/>
                <w:lang w:val="ru-RU"/>
              </w:rPr>
              <w:t xml:space="preserve"> давая возможность выбора наиболее выгодно</w:t>
            </w:r>
            <w:r w:rsidR="00902E70">
              <w:rPr>
                <w:sz w:val="25"/>
                <w:szCs w:val="25"/>
                <w:lang w:val="ru-RU"/>
              </w:rPr>
              <w:t>й</w:t>
            </w:r>
            <w:r w:rsidR="00B91E49" w:rsidRPr="00902E70">
              <w:rPr>
                <w:sz w:val="25"/>
                <w:szCs w:val="25"/>
                <w:lang w:val="ru-RU"/>
              </w:rPr>
              <w:t xml:space="preserve"> для себя </w:t>
            </w:r>
            <w:r w:rsidR="00CC5D65">
              <w:rPr>
                <w:sz w:val="25"/>
                <w:szCs w:val="25"/>
                <w:lang w:val="ru-RU"/>
              </w:rPr>
              <w:t>модели.</w:t>
            </w:r>
          </w:p>
          <w:p w:rsidR="00F646C3" w:rsidRPr="00E87CCB" w:rsidRDefault="00F646C3" w:rsidP="003F1C5C">
            <w:pPr>
              <w:ind w:right="113" w:firstLine="823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3799" w:type="dxa"/>
            <w:gridSpan w:val="2"/>
            <w:vAlign w:val="bottom"/>
          </w:tcPr>
          <w:p w:rsidR="00F646C3" w:rsidRPr="0064183A" w:rsidRDefault="00F646C3" w:rsidP="00D04F9F">
            <w:pPr>
              <w:ind w:firstLine="709"/>
              <w:jc w:val="center"/>
              <w:rPr>
                <w:sz w:val="25"/>
                <w:szCs w:val="25"/>
                <w:lang w:val="ru-RU"/>
              </w:rPr>
            </w:pPr>
          </w:p>
          <w:p w:rsidR="00F646C3" w:rsidRPr="0064183A" w:rsidRDefault="00F646C3" w:rsidP="00D04F9F">
            <w:pPr>
              <w:ind w:firstLine="709"/>
              <w:jc w:val="center"/>
              <w:rPr>
                <w:sz w:val="25"/>
                <w:szCs w:val="25"/>
                <w:lang w:val="ru-RU"/>
              </w:rPr>
            </w:pPr>
          </w:p>
          <w:p w:rsidR="00F646C3" w:rsidRPr="0064183A" w:rsidRDefault="00F646C3" w:rsidP="00D04F9F">
            <w:pPr>
              <w:ind w:firstLine="709"/>
              <w:jc w:val="center"/>
              <w:rPr>
                <w:sz w:val="25"/>
                <w:szCs w:val="25"/>
                <w:lang w:val="ru-RU"/>
              </w:rPr>
            </w:pPr>
            <w:r w:rsidRPr="0064183A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F646C3" w:rsidRPr="0064183A" w:rsidRDefault="00F646C3" w:rsidP="00D04F9F">
            <w:pPr>
              <w:ind w:firstLine="709"/>
              <w:rPr>
                <w:sz w:val="25"/>
                <w:szCs w:val="25"/>
                <w:lang w:val="ru-RU"/>
              </w:rPr>
            </w:pPr>
            <w:r w:rsidRPr="0064183A">
              <w:rPr>
                <w:sz w:val="25"/>
                <w:szCs w:val="25"/>
                <w:lang w:val="ru-RU"/>
              </w:rPr>
              <w:t>Правил проведения</w:t>
            </w:r>
          </w:p>
        </w:tc>
      </w:tr>
    </w:tbl>
    <w:p w:rsidR="00F646C3" w:rsidRPr="00C92A0D" w:rsidRDefault="00F646C3" w:rsidP="00F646C3">
      <w:pPr>
        <w:jc w:val="center"/>
        <w:rPr>
          <w:szCs w:val="26"/>
          <w:lang w:val="ru-RU"/>
        </w:rPr>
      </w:pPr>
    </w:p>
    <w:p w:rsidR="00E2212A" w:rsidRDefault="00CC5D65" w:rsidP="00E2212A">
      <w:pPr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М</w:t>
      </w:r>
      <w:r w:rsidR="00E2212A" w:rsidRPr="009172A5">
        <w:rPr>
          <w:b/>
          <w:szCs w:val="26"/>
          <w:lang w:val="ru-RU"/>
        </w:rPr>
        <w:t xml:space="preserve">инистр </w:t>
      </w:r>
    </w:p>
    <w:p w:rsidR="00E2212A" w:rsidRPr="009172A5" w:rsidRDefault="00E2212A" w:rsidP="00E2212A">
      <w:pPr>
        <w:jc w:val="both"/>
        <w:rPr>
          <w:b/>
          <w:szCs w:val="26"/>
          <w:lang w:val="ru-RU"/>
        </w:rPr>
      </w:pPr>
      <w:r w:rsidRPr="009172A5">
        <w:rPr>
          <w:b/>
          <w:szCs w:val="26"/>
          <w:lang w:val="ru-RU"/>
        </w:rPr>
        <w:t>экономического развития</w:t>
      </w:r>
    </w:p>
    <w:p w:rsidR="00E2212A" w:rsidRPr="009172A5" w:rsidRDefault="00E2212A" w:rsidP="00E2212A">
      <w:pPr>
        <w:jc w:val="both"/>
        <w:rPr>
          <w:b/>
          <w:szCs w:val="26"/>
          <w:lang w:val="ru-RU"/>
        </w:rPr>
      </w:pPr>
      <w:proofErr w:type="gramStart"/>
      <w:r w:rsidRPr="009172A5">
        <w:rPr>
          <w:b/>
          <w:szCs w:val="26"/>
          <w:lang w:val="ru-RU"/>
        </w:rPr>
        <w:t>Калужской</w:t>
      </w:r>
      <w:proofErr w:type="gramEnd"/>
      <w:r w:rsidRPr="009172A5">
        <w:rPr>
          <w:b/>
          <w:szCs w:val="26"/>
          <w:lang w:val="ru-RU"/>
        </w:rPr>
        <w:t xml:space="preserve"> области</w:t>
      </w:r>
      <w:r>
        <w:rPr>
          <w:b/>
          <w:szCs w:val="26"/>
          <w:lang w:val="ru-RU"/>
        </w:rPr>
        <w:t xml:space="preserve">                                                                    </w:t>
      </w:r>
      <w:r w:rsidR="00E87CCB">
        <w:rPr>
          <w:b/>
          <w:szCs w:val="26"/>
          <w:lang w:val="ru-RU"/>
        </w:rPr>
        <w:t xml:space="preserve">                  </w:t>
      </w:r>
      <w:r w:rsidR="00CC5D65">
        <w:rPr>
          <w:b/>
          <w:szCs w:val="26"/>
          <w:lang w:val="ru-RU"/>
        </w:rPr>
        <w:t xml:space="preserve">       </w:t>
      </w:r>
      <w:r w:rsidR="00E87CCB">
        <w:rPr>
          <w:b/>
          <w:szCs w:val="26"/>
          <w:lang w:val="ru-RU"/>
        </w:rPr>
        <w:t xml:space="preserve">       </w:t>
      </w:r>
      <w:r w:rsidR="00CC5D65">
        <w:rPr>
          <w:b/>
          <w:szCs w:val="26"/>
          <w:lang w:val="ru-RU"/>
        </w:rPr>
        <w:t>В.И. Попов</w:t>
      </w:r>
    </w:p>
    <w:p w:rsidR="00F646C3" w:rsidRPr="00C92A0D" w:rsidRDefault="00F646C3" w:rsidP="00F646C3">
      <w:pPr>
        <w:jc w:val="both"/>
        <w:rPr>
          <w:szCs w:val="26"/>
          <w:lang w:val="ru-RU"/>
        </w:rPr>
      </w:pPr>
      <w:r w:rsidRPr="00C92A0D">
        <w:rPr>
          <w:szCs w:val="26"/>
          <w:lang w:val="ru-RU"/>
        </w:rPr>
        <w:t xml:space="preserve">        </w:t>
      </w:r>
    </w:p>
    <w:p w:rsidR="00D11FB3" w:rsidRPr="00E2212A" w:rsidRDefault="003D5DFE">
      <w:pPr>
        <w:rPr>
          <w:lang w:val="ru-RU"/>
        </w:rPr>
      </w:pPr>
    </w:p>
    <w:sectPr w:rsidR="00D11FB3" w:rsidRPr="00E2212A" w:rsidSect="00333948">
      <w:headerReference w:type="default" r:id="rId8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FE" w:rsidRDefault="003D5DFE" w:rsidP="00333948">
      <w:r>
        <w:separator/>
      </w:r>
    </w:p>
  </w:endnote>
  <w:endnote w:type="continuationSeparator" w:id="0">
    <w:p w:rsidR="003D5DFE" w:rsidRDefault="003D5DFE" w:rsidP="003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FE" w:rsidRDefault="003D5DFE" w:rsidP="00333948">
      <w:r>
        <w:separator/>
      </w:r>
    </w:p>
  </w:footnote>
  <w:footnote w:type="continuationSeparator" w:id="0">
    <w:p w:rsidR="003D5DFE" w:rsidRDefault="003D5DFE" w:rsidP="0033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6129"/>
      <w:docPartObj>
        <w:docPartGallery w:val="Page Numbers (Top of Page)"/>
        <w:docPartUnique/>
      </w:docPartObj>
    </w:sdtPr>
    <w:sdtContent>
      <w:p w:rsidR="00333948" w:rsidRDefault="003339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BA" w:rsidRPr="00035DBA">
          <w:rPr>
            <w:noProof/>
            <w:lang w:val="ru-RU"/>
          </w:rPr>
          <w:t>2</w:t>
        </w:r>
        <w:r>
          <w:fldChar w:fldCharType="end"/>
        </w:r>
      </w:p>
    </w:sdtContent>
  </w:sdt>
  <w:p w:rsidR="00333948" w:rsidRDefault="003339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560"/>
    <w:multiLevelType w:val="hybridMultilevel"/>
    <w:tmpl w:val="7FCE7842"/>
    <w:lvl w:ilvl="0" w:tplc="1FF8B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46B26"/>
    <w:multiLevelType w:val="hybridMultilevel"/>
    <w:tmpl w:val="258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7805"/>
    <w:multiLevelType w:val="hybridMultilevel"/>
    <w:tmpl w:val="6178CF04"/>
    <w:lvl w:ilvl="0" w:tplc="D8C8E7E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7425778F"/>
    <w:multiLevelType w:val="hybridMultilevel"/>
    <w:tmpl w:val="45424C5A"/>
    <w:lvl w:ilvl="0" w:tplc="91B443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2508F"/>
    <w:multiLevelType w:val="hybridMultilevel"/>
    <w:tmpl w:val="7848C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8857CF"/>
    <w:multiLevelType w:val="hybridMultilevel"/>
    <w:tmpl w:val="457654FA"/>
    <w:lvl w:ilvl="0" w:tplc="AD4488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3"/>
    <w:rsid w:val="000063E1"/>
    <w:rsid w:val="00016DC7"/>
    <w:rsid w:val="00026EC8"/>
    <w:rsid w:val="00032134"/>
    <w:rsid w:val="00035DBA"/>
    <w:rsid w:val="0004318C"/>
    <w:rsid w:val="000573AD"/>
    <w:rsid w:val="00094E17"/>
    <w:rsid w:val="000C0E73"/>
    <w:rsid w:val="00100684"/>
    <w:rsid w:val="00110318"/>
    <w:rsid w:val="001139D8"/>
    <w:rsid w:val="001321E0"/>
    <w:rsid w:val="00136594"/>
    <w:rsid w:val="001A1253"/>
    <w:rsid w:val="001B11A5"/>
    <w:rsid w:val="00221EE1"/>
    <w:rsid w:val="0025640E"/>
    <w:rsid w:val="002B537E"/>
    <w:rsid w:val="00333948"/>
    <w:rsid w:val="00336423"/>
    <w:rsid w:val="00384C70"/>
    <w:rsid w:val="003C30F6"/>
    <w:rsid w:val="003D5DFE"/>
    <w:rsid w:val="003F1C5C"/>
    <w:rsid w:val="00415F3B"/>
    <w:rsid w:val="00422E8C"/>
    <w:rsid w:val="00454144"/>
    <w:rsid w:val="00462788"/>
    <w:rsid w:val="004A10A6"/>
    <w:rsid w:val="004F0303"/>
    <w:rsid w:val="00507174"/>
    <w:rsid w:val="00554F4C"/>
    <w:rsid w:val="00557065"/>
    <w:rsid w:val="005716C3"/>
    <w:rsid w:val="005E5118"/>
    <w:rsid w:val="006123B8"/>
    <w:rsid w:val="00617A7E"/>
    <w:rsid w:val="0064183A"/>
    <w:rsid w:val="006655F4"/>
    <w:rsid w:val="006B2355"/>
    <w:rsid w:val="006E14AC"/>
    <w:rsid w:val="006F761E"/>
    <w:rsid w:val="00734D0E"/>
    <w:rsid w:val="00744107"/>
    <w:rsid w:val="00757593"/>
    <w:rsid w:val="007D7F51"/>
    <w:rsid w:val="007E4287"/>
    <w:rsid w:val="007E57D9"/>
    <w:rsid w:val="007F3F04"/>
    <w:rsid w:val="00823612"/>
    <w:rsid w:val="00845712"/>
    <w:rsid w:val="008F550D"/>
    <w:rsid w:val="008F56D6"/>
    <w:rsid w:val="00902E70"/>
    <w:rsid w:val="00903F1D"/>
    <w:rsid w:val="009057BC"/>
    <w:rsid w:val="00967BC4"/>
    <w:rsid w:val="009A315E"/>
    <w:rsid w:val="009C54C1"/>
    <w:rsid w:val="009D684A"/>
    <w:rsid w:val="00A144E8"/>
    <w:rsid w:val="00A27586"/>
    <w:rsid w:val="00A353EF"/>
    <w:rsid w:val="00A6382C"/>
    <w:rsid w:val="00AA020F"/>
    <w:rsid w:val="00AC3B27"/>
    <w:rsid w:val="00AF5CC7"/>
    <w:rsid w:val="00B0323E"/>
    <w:rsid w:val="00B1799D"/>
    <w:rsid w:val="00B72F34"/>
    <w:rsid w:val="00B91E49"/>
    <w:rsid w:val="00BC4776"/>
    <w:rsid w:val="00C02174"/>
    <w:rsid w:val="00C14356"/>
    <w:rsid w:val="00C314AC"/>
    <w:rsid w:val="00C73DD3"/>
    <w:rsid w:val="00CC5D65"/>
    <w:rsid w:val="00D55E55"/>
    <w:rsid w:val="00D566F0"/>
    <w:rsid w:val="00DD52DD"/>
    <w:rsid w:val="00DD6BE8"/>
    <w:rsid w:val="00E2212A"/>
    <w:rsid w:val="00E8645A"/>
    <w:rsid w:val="00E8675D"/>
    <w:rsid w:val="00E87CCB"/>
    <w:rsid w:val="00E947D4"/>
    <w:rsid w:val="00F47CA1"/>
    <w:rsid w:val="00F646C3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6C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F64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qFormat/>
    <w:rsid w:val="00F6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50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D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333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948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333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48"/>
    <w:rPr>
      <w:rFonts w:ascii="Times New Roman" w:eastAsia="Times New Roman" w:hAnsi="Times New Roman" w:cs="Times New Roman"/>
      <w:sz w:val="26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6C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F64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qFormat/>
    <w:rsid w:val="00F6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50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D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333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948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333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48"/>
    <w:rPr>
      <w:rFonts w:ascii="Times New Roman" w:eastAsia="Times New Roman" w:hAnsi="Times New Roman" w:cs="Times New Roman"/>
      <w:sz w:val="26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Совакова Инна Анатольевна</dc:creator>
  <cp:lastModifiedBy>Сажина Татьяна Васильевна</cp:lastModifiedBy>
  <cp:revision>27</cp:revision>
  <cp:lastPrinted>2014-10-30T05:47:00Z</cp:lastPrinted>
  <dcterms:created xsi:type="dcterms:W3CDTF">2014-10-28T06:18:00Z</dcterms:created>
  <dcterms:modified xsi:type="dcterms:W3CDTF">2014-10-30T07:07:00Z</dcterms:modified>
</cp:coreProperties>
</file>