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77"/>
      </w:tblGrid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Калужская область</w:t>
            </w: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«Управление имущественным комплексом Калужской области»</w:t>
            </w: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«Управление имущественным комплексом Калужской области».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государственную программу: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1. «Формирование единой системы учета и управления </w:t>
            </w:r>
            <w:r w:rsidR="00C733C1">
              <w:rPr>
                <w:rFonts w:ascii="Times New Roman" w:hAnsi="Times New Roman"/>
                <w:color w:val="000000"/>
                <w:sz w:val="26"/>
                <w:szCs w:val="26"/>
              </w:rPr>
              <w:t>имуществом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находящимся в собственности Калужской области, формирование в отношении его полных и достоверных сведений»;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2. «Обеспечение рационального, эффективного использования земельных участков, находящихся в собственности Калужской области»;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3. «Сохранение и улучшение технического состояния объектов недвижимости, находящихся в собственности Кал</w:t>
            </w:r>
            <w:r w:rsidR="004A0823">
              <w:rPr>
                <w:rFonts w:ascii="Times New Roman" w:hAnsi="Times New Roman"/>
                <w:color w:val="000000"/>
                <w:sz w:val="26"/>
                <w:szCs w:val="26"/>
              </w:rPr>
              <w:t>ужской области, их модернизация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4. «Проведение комплексных кадастровых работ».</w:t>
            </w:r>
          </w:p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A0823" w:rsidP="004A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="004157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1576C">
              <w:rPr>
                <w:rFonts w:ascii="Times New Roman" w:hAnsi="Times New Roman"/>
                <w:color w:val="000000"/>
                <w:sz w:val="26"/>
                <w:szCs w:val="26"/>
              </w:rPr>
              <w:t>овышение эффективности использования имущества, находящегося в государственной собственности Калужской области, и земельных ресурсов Калужской области.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внесение в Единый государственный реестр недвижимости (далее - ЕГРН) установленных в соответствии с требованиями законодательства Российской Федерации сведений о границах земельных участков и местоположении объектов капитального строительства на земельных участках;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повышение эффективности системы учета и мониторинга использования имущества, в том числе земельных участков, находящихся в государственной собственности Калужской области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;;</w:t>
            </w:r>
            <w:proofErr w:type="gramEnd"/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повышение эффективности управления земельными участками, находящимися в государственной собственности Калужской области;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формирование оптимального состава и структуры имущества (за исключением земельных участков), находящегося в государственной </w:t>
            </w:r>
            <w:r w:rsidR="003E4334">
              <w:rPr>
                <w:rFonts w:ascii="Times New Roman" w:hAnsi="Times New Roman"/>
                <w:color w:val="000000"/>
                <w:sz w:val="26"/>
                <w:szCs w:val="26"/>
              </w:rPr>
              <w:t>собственности Калужской области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  <w:r w:rsidR="00C733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• процент вовлеченных в хозяйственный оборот земельных участков в общем количестве земельных участков, находящихся в государственной собственности Калужской области (за исключением земельных участков, изъятых из оборота, и земельных участков, относящихся к землям запаса) составил 84%.</w:t>
            </w:r>
          </w:p>
          <w:p w:rsidR="003E4334" w:rsidRPr="009B564B" w:rsidRDefault="009D4C1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За год в хозяйственный оборот вовлечены земельные участки общей площадью более 3400 гектара, из них 2700 гектаров - земли сельскохозяйственного назначения</w:t>
            </w:r>
            <w:r w:rsidR="003E4334" w:rsidRPr="009B564B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• Доля объектов имущества, учтенных в Реестре государственной собственности </w:t>
            </w: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Калужской области, составила 90% от общего числа выявленных и подлежащих к учету объектов (в рамках текущего года).</w:t>
            </w:r>
          </w:p>
          <w:p w:rsidR="003E4334" w:rsidRPr="009B564B" w:rsidRDefault="00232FE6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За 2020 год выявлено и учтено в Реестре государственной собственности Калужской области 2639 новых объектов областного имущества, актуализированы сведения по 14383 объектам учета</w:t>
            </w:r>
            <w:r w:rsidR="003E4334" w:rsidRPr="009B564B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Проведенная работа позволила значительно повысить достоверность и полноту сведений, внесенных в Реестр государственной собственности Калужской области, что повышает возможности </w:t>
            </w:r>
            <w:proofErr w:type="gramStart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контроля за</w:t>
            </w:r>
            <w:proofErr w:type="gramEnd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сохранностью и использованием имущества, а также процессом регистрации прав на недвижимое имущество, находящееся в государственной собственности Калужской области.</w:t>
            </w:r>
          </w:p>
          <w:p w:rsidR="0041576C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В 2020 </w:t>
            </w:r>
            <w:r w:rsidR="004A0823"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году </w:t>
            </w: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на территории 11 муниципальных районов </w:t>
            </w:r>
            <w:r w:rsidR="00280C3F"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Калужской области </w:t>
            </w:r>
            <w:r w:rsidR="00C733C1" w:rsidRPr="009B564B">
              <w:rPr>
                <w:rFonts w:ascii="Times New Roman" w:hAnsi="Times New Roman"/>
                <w:iCs/>
                <w:sz w:val="26"/>
                <w:szCs w:val="26"/>
              </w:rPr>
              <w:t>проведены</w:t>
            </w:r>
            <w:r w:rsidR="009D4C11"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комплексные к</w:t>
            </w: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адастровые работы.</w:t>
            </w:r>
          </w:p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</w:t>
            </w:r>
            <w:r w:rsidR="00C733C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Вклад основных результатов в решение задач и достижение целей государственной программы: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Проведенные в 2020 году мероприятия по управлению и распоряжению областным имуществом и земельными участками: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- вовлечение земельных участков в хозяйственный оборот;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proofErr w:type="gramStart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контроль за</w:t>
            </w:r>
            <w:proofErr w:type="gramEnd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использованием областного имущества и земельных участков;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- включение в реестр государственной собственности Калужской области сведений об объектах недвижимости и земельных участках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направлены, прежде всего, на повышение эффективности использования государственного имущества и земельных участков, достижение оптимального состава и структуры имущества Калужской области.</w:t>
            </w:r>
          </w:p>
          <w:p w:rsidR="003E4334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В 2020 году были проведены мероприятия по списанию имущества казны, находящегося в аварийном состоянии, ремонт (восстановление) </w:t>
            </w:r>
            <w:proofErr w:type="gramStart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которых</w:t>
            </w:r>
            <w:proofErr w:type="gramEnd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экономически нецелесообразен.</w:t>
            </w:r>
          </w:p>
          <w:p w:rsidR="0041576C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Проведение комплексных кадастровых работ позволило внести в Единый государственный реестр недвижимости точных сведений о местоположении границ земельных участков и объектов недвижимости, наличие которых позволит осуществлять качественное управление и распоряжение объектами недвижимости, приведет к повышению уровня юридической защиты прав и законных интересов правообладателей, устранению кадастровых (реестровых) ошибок, снижению количества земельных споров, а также увеличению поступлений в консолидированный бюджет, получаемых от сбора</w:t>
            </w:r>
            <w:proofErr w:type="gramEnd"/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земельного налога и налога на имущество физических лиц. Количество объектов, по которым были проведены комплексные кадастровые работы, составило более 10400 единиц</w:t>
            </w:r>
            <w:r w:rsidRPr="009B56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  <w:r w:rsidR="00C733C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Плановые значения выполнены на 100 % и выше по следующим индикаторам: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Доля объектов имущества, учтенных в Реестре государственной собственности Калужской области, от общего числа выявленных и подлежащих к учету объектов (в рамках текущего года);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Доля вовлеченных в хозяйственный оборот земельных участков в общем количестве земельных участков, находящихся в государственной собственности Калужской области (за исключением земельных участков, изъятых из оборота, и земельных участков, относящихся к землям запаса);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Доля объектов недвижимости государственной казны Калужской области, вовлеченных в хозяйственный оборот в отчетном году, от общего количества объектов недвижимости, принятых в казну Калужской области в отчетном году (без учета земельных участков);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 Количество объектов недвижимости в кадастровых кварталах, в отношении которых проведены</w:t>
            </w:r>
            <w:r w:rsidR="00C73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комплексные кадастровые работы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Площадь земельных участков сельскохозяйственного назначения, поставленных на государственный кадастровый учет по результатам кадастровых работ.</w:t>
            </w:r>
          </w:p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9F0">
              <w:rPr>
                <w:rFonts w:ascii="Times New Roman" w:hAnsi="Times New Roman"/>
                <w:i/>
                <w:iCs/>
                <w:sz w:val="26"/>
                <w:szCs w:val="26"/>
              </w:rPr>
              <w:t>Индикаторы государственной программы Калужской области «Управление имущественным комплексом Калужской области» выполнены.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733C1" w:rsidRPr="00AA36B3" w:rsidRDefault="009B564B" w:rsidP="00AA36B3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достижении значений индикаторов государственной программы Калужской области «</w:t>
            </w: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имущественным комплексом</w:t>
            </w: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Калужской области» представлены в приложении №1</w:t>
            </w: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1576C" w:rsidRPr="00AA36B3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  <w:r w:rsidR="004A082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Pr="009B564B" w:rsidRDefault="003E4334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В связи с введением ограничительных мер из-за распространения новой коронавирусной инфекции, на всех уровнях были приняты меры по поддержки арендаторов государственного и муниципального имущества в части освобождения, отсрочки или уменьшения арендной платы за использование имущества. Кроме того</w:t>
            </w:r>
            <w:r w:rsidR="009D4C11" w:rsidRPr="009B564B">
              <w:rPr>
                <w:rFonts w:ascii="Times New Roman" w:hAnsi="Times New Roman"/>
                <w:iCs/>
                <w:sz w:val="26"/>
                <w:szCs w:val="26"/>
              </w:rPr>
              <w:t>, было принято решение о введении моратория на проведения контрольных мероприятий в отношении государственных учреждений</w:t>
            </w:r>
          </w:p>
          <w:p w:rsidR="009D4C11" w:rsidRPr="009B564B" w:rsidRDefault="009D4C1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Поступления в бюджет Калужской области от использования  государственного имущества, включая земельные участки, в 2020 году составили более 97</w:t>
            </w:r>
            <w:r w:rsidR="004A0823" w:rsidRPr="009B564B">
              <w:rPr>
                <w:rFonts w:ascii="Times New Roman" w:hAnsi="Times New Roman"/>
                <w:iCs/>
                <w:sz w:val="26"/>
                <w:szCs w:val="26"/>
              </w:rPr>
              <w:t xml:space="preserve"> миллионов рублей, что на 18 % больше поступлений 2019 года.</w:t>
            </w:r>
          </w:p>
          <w:p w:rsidR="009D4C11" w:rsidRPr="00C733C1" w:rsidRDefault="009D4C1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B564B">
              <w:rPr>
                <w:rFonts w:ascii="Times New Roman" w:hAnsi="Times New Roman"/>
                <w:iCs/>
                <w:sz w:val="26"/>
                <w:szCs w:val="26"/>
              </w:rPr>
              <w:t>Повышение поступлений по сравнению с 2019 года связано в основном с увеличением поступлений от выкупа арендаторами земельных участков в собственность.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программы в 2020 году составило </w:t>
            </w:r>
            <w:r w:rsidR="00C733C1" w:rsidRPr="00C733C1">
              <w:rPr>
                <w:rFonts w:ascii="Times New Roman" w:hAnsi="Times New Roman"/>
                <w:color w:val="000000"/>
                <w:sz w:val="26"/>
                <w:szCs w:val="26"/>
              </w:rPr>
              <w:t>414 627,738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73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руб., в том числе за счет средств: 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федерального бюджета 6542,</w:t>
            </w:r>
            <w:r w:rsidR="0041576C">
              <w:rPr>
                <w:rFonts w:ascii="Times New Roman" w:hAnsi="Times New Roman"/>
                <w:color w:val="000000"/>
                <w:sz w:val="26"/>
                <w:szCs w:val="26"/>
              </w:rPr>
              <w:t>900 тыс. руб.;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областного бюджета </w:t>
            </w:r>
            <w:r w:rsidR="00C733C1" w:rsidRPr="00C733C1">
              <w:rPr>
                <w:rFonts w:ascii="Times New Roman" w:hAnsi="Times New Roman"/>
                <w:color w:val="000000"/>
                <w:sz w:val="26"/>
                <w:szCs w:val="26"/>
              </w:rPr>
              <w:t>408 084,838</w:t>
            </w:r>
            <w:r w:rsidR="004A08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AA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Данные об использовании бюджетных и иных средств на реализацию мероприятий государственной программы в рамках подпрограмм представлены в </w:t>
            </w:r>
            <w:r w:rsidR="00AA36B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приложении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№ 2.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C733C1" w:rsidRDefault="00C733C1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41576C" w:rsidRDefault="0041576C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41576C" w:rsidTr="00C733C1">
        <w:trPr>
          <w:trHeight w:val="239"/>
        </w:trPr>
        <w:tc>
          <w:tcPr>
            <w:tcW w:w="10177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1576C" w:rsidRDefault="0041576C" w:rsidP="004A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«Управление имущественным комплексом Калужской области» характеризуется высоким уровнем эффектив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– 100 %</w:t>
            </w:r>
            <w:r w:rsidR="00AA36B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A36B3" w:rsidRPr="00AA36B3" w:rsidRDefault="00AA36B3" w:rsidP="004A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6B3">
              <w:rPr>
                <w:rFonts w:ascii="Times New Roman" w:hAnsi="Times New Roman"/>
                <w:color w:val="000000"/>
                <w:sz w:val="26"/>
                <w:szCs w:val="26"/>
              </w:rPr>
              <w:t>Сведения по оценке эффективности реализации государственной программы представлены в приложении №3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41576C" w:rsidRDefault="0041576C" w:rsidP="00C733C1">
      <w:pPr>
        <w:ind w:right="184"/>
      </w:pPr>
    </w:p>
    <w:sectPr w:rsidR="0041576C" w:rsidSect="00C733C1">
      <w:footerReference w:type="default" r:id="rId7"/>
      <w:pgSz w:w="11950" w:h="16901"/>
      <w:pgMar w:top="709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AC" w:rsidRDefault="004D71AC">
      <w:pPr>
        <w:spacing w:after="0" w:line="240" w:lineRule="auto"/>
      </w:pPr>
      <w:r>
        <w:separator/>
      </w:r>
    </w:p>
  </w:endnote>
  <w:endnote w:type="continuationSeparator" w:id="0">
    <w:p w:rsidR="004D71AC" w:rsidRDefault="004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6C" w:rsidRDefault="0041576C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A36B3">
      <w:rPr>
        <w:rFonts w:ascii="Times New Roman" w:hAnsi="Times New Roman"/>
        <w:noProof/>
        <w:color w:val="000000"/>
        <w:sz w:val="20"/>
        <w:szCs w:val="20"/>
      </w:rPr>
      <w:t>3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A36B3">
      <w:rPr>
        <w:rFonts w:ascii="Times New Roman" w:hAnsi="Times New Roman"/>
        <w:noProof/>
        <w:color w:val="000000"/>
        <w:sz w:val="20"/>
        <w:szCs w:val="20"/>
      </w:rPr>
      <w:t>4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AC" w:rsidRDefault="004D71AC">
      <w:pPr>
        <w:spacing w:after="0" w:line="240" w:lineRule="auto"/>
      </w:pPr>
      <w:r>
        <w:separator/>
      </w:r>
    </w:p>
  </w:footnote>
  <w:footnote w:type="continuationSeparator" w:id="0">
    <w:p w:rsidR="004D71AC" w:rsidRDefault="004D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7"/>
    <w:rsid w:val="0008263D"/>
    <w:rsid w:val="002175D2"/>
    <w:rsid w:val="00232FE6"/>
    <w:rsid w:val="00280C3F"/>
    <w:rsid w:val="003E4334"/>
    <w:rsid w:val="0041576C"/>
    <w:rsid w:val="004A0823"/>
    <w:rsid w:val="004D71AC"/>
    <w:rsid w:val="004E69D5"/>
    <w:rsid w:val="0069126F"/>
    <w:rsid w:val="009B564B"/>
    <w:rsid w:val="009D4C11"/>
    <w:rsid w:val="00A652A7"/>
    <w:rsid w:val="00AA36B3"/>
    <w:rsid w:val="00B74CA3"/>
    <w:rsid w:val="00C25407"/>
    <w:rsid w:val="00C733C1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25.05.2020 13:57:16</dc:subject>
  <dc:creator>Keysystems.DWH2.ReportDesigner</dc:creator>
  <cp:lastModifiedBy>Мужичкова Елена Владимировна</cp:lastModifiedBy>
  <cp:revision>4</cp:revision>
  <dcterms:created xsi:type="dcterms:W3CDTF">2021-02-18T06:29:00Z</dcterms:created>
  <dcterms:modified xsi:type="dcterms:W3CDTF">2021-03-09T12:06:00Z</dcterms:modified>
</cp:coreProperties>
</file>