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Pr="00042345" w:rsidRDefault="009A35B2" w:rsidP="009A35B2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A80026" w:rsidRPr="00042345" w:rsidRDefault="009A35B2" w:rsidP="00A80026">
      <w:pPr>
        <w:rPr>
          <w:b/>
        </w:rPr>
      </w:pPr>
      <w:r w:rsidRPr="00042345">
        <w:rPr>
          <w:b/>
        </w:rPr>
        <w:t>по результатам контрольного мероприятия</w:t>
      </w:r>
      <w:r w:rsidR="00C507E7" w:rsidRPr="00042345">
        <w:rPr>
          <w:b/>
        </w:rPr>
        <w:t xml:space="preserve"> </w:t>
      </w:r>
      <w:r w:rsidR="00A80026" w:rsidRPr="00042345">
        <w:rPr>
          <w:b/>
        </w:rPr>
        <w:t xml:space="preserve">«Контроль результатов реализации за 2017-2018 годы государственной программы </w:t>
      </w:r>
    </w:p>
    <w:p w:rsidR="009A35B2" w:rsidRPr="00042345" w:rsidRDefault="00A80026" w:rsidP="00A80026">
      <w:pPr>
        <w:rPr>
          <w:rFonts w:eastAsia="Times New Roman"/>
          <w:b/>
          <w:lang w:eastAsia="ru-RU"/>
        </w:rPr>
      </w:pPr>
      <w:r w:rsidRPr="00042345">
        <w:rPr>
          <w:b/>
        </w:rPr>
        <w:t>Калужской области «Доступная среда Калужской области»</w:t>
      </w:r>
    </w:p>
    <w:p w:rsidR="001F7D0C" w:rsidRPr="00042345" w:rsidRDefault="001F7D0C" w:rsidP="00E91578">
      <w:pPr>
        <w:ind w:firstLine="567"/>
        <w:rPr>
          <w:b/>
        </w:rPr>
      </w:pPr>
    </w:p>
    <w:p w:rsidR="009A35B2" w:rsidRPr="00042345" w:rsidRDefault="009A35B2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>№ 193-ОЗ «О Контрольно-счётной палате Калужской области», пункта 1.</w:t>
      </w:r>
      <w:r w:rsidR="00A80026" w:rsidRPr="00042345">
        <w:rPr>
          <w:color w:val="000000"/>
        </w:rPr>
        <w:t>1.7</w:t>
      </w:r>
      <w:r w:rsidRPr="00042345">
        <w:rPr>
          <w:color w:val="000000"/>
        </w:rPr>
        <w:t xml:space="preserve"> плана работы Контрольно-счетной палаты на 2019 год и распоряжения о проведении контрольного мероприятия от </w:t>
      </w:r>
      <w:r w:rsidR="00E91578" w:rsidRPr="00042345">
        <w:rPr>
          <w:color w:val="000000"/>
        </w:rPr>
        <w:t>2</w:t>
      </w:r>
      <w:r w:rsidR="00A80026" w:rsidRPr="00042345">
        <w:rPr>
          <w:color w:val="000000"/>
        </w:rPr>
        <w:t>8</w:t>
      </w:r>
      <w:r w:rsidRPr="00042345">
        <w:rPr>
          <w:color w:val="000000"/>
        </w:rPr>
        <w:t>.0</w:t>
      </w:r>
      <w:r w:rsidR="00A80026" w:rsidRPr="00042345">
        <w:rPr>
          <w:color w:val="000000"/>
        </w:rPr>
        <w:t>8</w:t>
      </w:r>
      <w:r w:rsidRPr="00042345">
        <w:rPr>
          <w:color w:val="000000"/>
        </w:rPr>
        <w:t xml:space="preserve">.2019 № </w:t>
      </w:r>
      <w:r w:rsidR="00A80026" w:rsidRPr="00042345">
        <w:rPr>
          <w:color w:val="000000"/>
        </w:rPr>
        <w:t>35</w:t>
      </w:r>
      <w:r w:rsidRPr="00042345">
        <w:rPr>
          <w:color w:val="000000"/>
        </w:rPr>
        <w:t>-П.</w:t>
      </w:r>
    </w:p>
    <w:p w:rsidR="0007648B" w:rsidRPr="00042345" w:rsidRDefault="0007648B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color w:val="000000"/>
        </w:rPr>
        <w:t>По результатам контрольного мероприятия установлено следующее.</w:t>
      </w:r>
    </w:p>
    <w:p w:rsidR="00445FD1" w:rsidRPr="00042345" w:rsidRDefault="00445FD1" w:rsidP="00082DC7">
      <w:pPr>
        <w:tabs>
          <w:tab w:val="left" w:pos="276"/>
          <w:tab w:val="center" w:pos="4677"/>
        </w:tabs>
        <w:ind w:firstLine="567"/>
        <w:jc w:val="both"/>
        <w:rPr>
          <w:b/>
          <w:bCs/>
        </w:rPr>
      </w:pPr>
      <w:r w:rsidRPr="00042345">
        <w:rPr>
          <w:b/>
          <w:bCs/>
        </w:rPr>
        <w:t>Комплексная оценка эффективности реализации Программы за 2017 -2018 годы по итоговому показателю Программа получила высокий уровень эффективности, комплексная оценка эффективности реализации Программы составила 100,9 %  в 2017 году и 100 % в 2018 году.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bCs/>
        </w:rPr>
      </w:pPr>
      <w:r w:rsidRPr="00042345">
        <w:t xml:space="preserve">В ходе проведённого контрольного мероприятия </w:t>
      </w:r>
      <w:r w:rsidRPr="00042345">
        <w:rPr>
          <w:bCs/>
        </w:rPr>
        <w:t xml:space="preserve">выявлены </w:t>
      </w:r>
      <w:r w:rsidRPr="00042345">
        <w:rPr>
          <w:b/>
          <w:bCs/>
        </w:rPr>
        <w:t xml:space="preserve">нарушения действующего законодательства, </w:t>
      </w:r>
      <w:r w:rsidRPr="00042345">
        <w:rPr>
          <w:bCs/>
        </w:rPr>
        <w:t>а именно:</w:t>
      </w:r>
    </w:p>
    <w:p w:rsidR="00445FD1" w:rsidRPr="00042345" w:rsidRDefault="00445FD1" w:rsidP="00082DC7">
      <w:pPr>
        <w:tabs>
          <w:tab w:val="left" w:pos="180"/>
        </w:tabs>
        <w:ind w:firstLine="567"/>
        <w:jc w:val="both"/>
        <w:rPr>
          <w:rFonts w:eastAsia="Calibri"/>
        </w:rPr>
      </w:pPr>
      <w:r w:rsidRPr="00042345">
        <w:rPr>
          <w:b/>
          <w:bCs/>
        </w:rPr>
        <w:t xml:space="preserve">1. Нецелевое использование бюджетных средств </w:t>
      </w:r>
      <w:r w:rsidRPr="00042345">
        <w:rPr>
          <w:rFonts w:eastAsia="Calibri"/>
        </w:rPr>
        <w:t>в части:</w:t>
      </w:r>
    </w:p>
    <w:p w:rsidR="00445FD1" w:rsidRPr="00042345" w:rsidRDefault="00445FD1" w:rsidP="00082DC7">
      <w:pPr>
        <w:tabs>
          <w:tab w:val="left" w:pos="276"/>
          <w:tab w:val="center" w:pos="4677"/>
        </w:tabs>
        <w:ind w:firstLine="567"/>
        <w:jc w:val="both"/>
      </w:pPr>
      <w:r w:rsidRPr="00042345">
        <w:rPr>
          <w:rFonts w:eastAsia="Calibri"/>
        </w:rPr>
        <w:t>-</w:t>
      </w:r>
      <w:r w:rsidRPr="00042345">
        <w:rPr>
          <w:bCs/>
        </w:rPr>
        <w:t xml:space="preserve"> </w:t>
      </w:r>
      <w:r w:rsidRPr="00042345">
        <w:rPr>
          <w:rFonts w:eastAsiaTheme="minorEastAsia"/>
        </w:rPr>
        <w:t xml:space="preserve">направления средств </w:t>
      </w:r>
      <w:r w:rsidRPr="00042345">
        <w:t>Г</w:t>
      </w:r>
      <w:r w:rsidRPr="00042345">
        <w:rPr>
          <w:rFonts w:eastAsiaTheme="minorEastAsia"/>
        </w:rPr>
        <w:t xml:space="preserve">КУ КО «Центр занятости Жуковского района» на оплату работ, не связанных с адаптацией  объектов органов службы занятости (ЦЗН Жуковского района) к обслуживанию инвалидов и не предусмотренных мероприятием 1.2 </w:t>
      </w:r>
      <w:r w:rsidRPr="00042345">
        <w:t xml:space="preserve">«Адаптация объектов органов службы занятости к обслуживанию инвалидов (установка пандусов, поручней, приобретение гусеничных подъемников для лестничных маршей, средств ориентации для инвалидов по зрению и слуху, расширение дверных проемов, приспособление путей движения внутри зданий, ремонт входных групп)» </w:t>
      </w:r>
      <w:r w:rsidR="002D0668" w:rsidRPr="002D0668">
        <w:t>(</w:t>
      </w:r>
      <w:r w:rsidRPr="002D0668">
        <w:rPr>
          <w:rFonts w:eastAsiaTheme="minorEastAsia"/>
        </w:rPr>
        <w:t>пр</w:t>
      </w:r>
      <w:r w:rsidR="002D0668" w:rsidRPr="002D0668">
        <w:rPr>
          <w:rFonts w:eastAsiaTheme="minorEastAsia"/>
        </w:rPr>
        <w:t>иложение</w:t>
      </w:r>
      <w:r w:rsidRPr="002D0668">
        <w:rPr>
          <w:rFonts w:eastAsiaTheme="minorEastAsia"/>
        </w:rPr>
        <w:t xml:space="preserve"> 2 </w:t>
      </w:r>
      <w:r w:rsidR="002D0668" w:rsidRPr="002D0668">
        <w:rPr>
          <w:rFonts w:eastAsiaTheme="minorEastAsia"/>
        </w:rPr>
        <w:t xml:space="preserve">к </w:t>
      </w:r>
      <w:r w:rsidR="002D0668" w:rsidRPr="002D0668">
        <w:t>государственной программе</w:t>
      </w:r>
      <w:r w:rsidR="0076446E" w:rsidRPr="002D0668">
        <w:t xml:space="preserve"> Калужской области «Доступная среда в Калужской области»</w:t>
      </w:r>
      <w:r w:rsidR="002D0668" w:rsidRPr="002D0668">
        <w:t>,</w:t>
      </w:r>
      <w:r w:rsidR="005A15C0" w:rsidRPr="002D0668">
        <w:t xml:space="preserve"> утвержденной  постановлением Правительства Калужской области от 30.12.2013 № 744</w:t>
      </w:r>
      <w:r w:rsidR="002D0668" w:rsidRPr="002D0668">
        <w:t xml:space="preserve">, </w:t>
      </w:r>
      <w:r w:rsidR="002D0668" w:rsidRPr="002D0668">
        <w:t>статья 306.4 Бюджетно</w:t>
      </w:r>
      <w:r w:rsidR="002D0668" w:rsidRPr="002D0668">
        <w:t>го кодекса Российской Федерации)</w:t>
      </w:r>
      <w:r w:rsidRPr="002D0668">
        <w:t>;</w:t>
      </w:r>
    </w:p>
    <w:p w:rsidR="00445FD1" w:rsidRPr="00042345" w:rsidRDefault="00445FD1" w:rsidP="00082DC7">
      <w:pPr>
        <w:tabs>
          <w:tab w:val="left" w:pos="276"/>
          <w:tab w:val="center" w:pos="4677"/>
        </w:tabs>
        <w:ind w:firstLine="567"/>
        <w:jc w:val="both"/>
        <w:rPr>
          <w:rFonts w:eastAsiaTheme="minorEastAsia"/>
        </w:rPr>
      </w:pPr>
      <w:r w:rsidRPr="00042345">
        <w:t xml:space="preserve">- </w:t>
      </w:r>
      <w:r w:rsidRPr="00042345">
        <w:rPr>
          <w:rFonts w:eastAsiaTheme="minorEastAsia"/>
        </w:rPr>
        <w:t xml:space="preserve">направления </w:t>
      </w:r>
      <w:r w:rsidR="002D0668" w:rsidRPr="00042345">
        <w:rPr>
          <w:rFonts w:eastAsiaTheme="minorEastAsia"/>
        </w:rPr>
        <w:t xml:space="preserve">средств </w:t>
      </w:r>
      <w:r w:rsidRPr="00042345">
        <w:rPr>
          <w:rFonts w:eastAsiaTheme="minorEastAsia"/>
        </w:rPr>
        <w:t xml:space="preserve">ГБУ КО «МФЦ Калужской области» в 2018 году на оплату оборудования </w:t>
      </w:r>
      <w:r w:rsidRPr="00042345">
        <w:rPr>
          <w:iCs/>
        </w:rPr>
        <w:t>(</w:t>
      </w:r>
      <w:r w:rsidRPr="00042345">
        <w:t>бесконтактный сенсорный дозатор мыла 1 шт., сенсорный диспенсер туалетной бумаги 1 шт.)</w:t>
      </w:r>
      <w:r w:rsidRPr="00042345">
        <w:rPr>
          <w:rFonts w:eastAsiaTheme="minorEastAsia"/>
        </w:rPr>
        <w:t xml:space="preserve">, не предусмотренного мероприятием </w:t>
      </w:r>
      <w:r w:rsidR="002D0668">
        <w:rPr>
          <w:rFonts w:eastAsiaTheme="minorEastAsia"/>
        </w:rPr>
        <w:t xml:space="preserve">                         </w:t>
      </w:r>
      <w:r w:rsidRPr="00042345">
        <w:rPr>
          <w:rFonts w:eastAsiaTheme="minorEastAsia"/>
        </w:rPr>
        <w:t xml:space="preserve">1.12 </w:t>
      </w:r>
      <w:r w:rsidRPr="00042345">
        <w:rPr>
          <w:iCs/>
        </w:rPr>
        <w:t xml:space="preserve">«Адаптация подразделений государственного бюджетного учреждения Калужской области «Многофункциональный центр предоставления государственных и муниципальных услуг Калужской области» к обслуживанию инвалидов и других МГН (установка поручней, средств ориентации для инвалидов по зрению и слуху, расширение дверных проемов, приспособление путей движения внутри зданий, ремонт входных групп)» </w:t>
      </w:r>
      <w:r w:rsidR="002D0668" w:rsidRPr="002D0668">
        <w:rPr>
          <w:iCs/>
        </w:rPr>
        <w:t>(</w:t>
      </w:r>
      <w:r w:rsidR="002D0668" w:rsidRPr="002D0668">
        <w:rPr>
          <w:rFonts w:eastAsiaTheme="minorEastAsia"/>
        </w:rPr>
        <w:t>приложение</w:t>
      </w:r>
      <w:r w:rsidRPr="002D0668">
        <w:rPr>
          <w:rFonts w:eastAsiaTheme="minorEastAsia"/>
        </w:rPr>
        <w:t xml:space="preserve"> 2 </w:t>
      </w:r>
      <w:r w:rsidR="002D0668" w:rsidRPr="002D0668">
        <w:rPr>
          <w:rFonts w:eastAsiaTheme="minorEastAsia"/>
        </w:rPr>
        <w:t xml:space="preserve">к </w:t>
      </w:r>
      <w:r w:rsidR="002D0668" w:rsidRPr="002D0668">
        <w:t>государственной программе</w:t>
      </w:r>
      <w:r w:rsidR="0076446E" w:rsidRPr="002D0668">
        <w:t xml:space="preserve"> Калужской области «Доступная среда в Калужской области»</w:t>
      </w:r>
      <w:r w:rsidR="005A15C0" w:rsidRPr="002D0668">
        <w:t>, утвержденной  постановлением Правительства Калужской области от 30.12.2013 № 744</w:t>
      </w:r>
      <w:r w:rsidR="002D0668" w:rsidRPr="002D0668">
        <w:rPr>
          <w:rFonts w:eastAsiaTheme="minorEastAsia"/>
        </w:rPr>
        <w:t xml:space="preserve">, </w:t>
      </w:r>
      <w:r w:rsidR="00C73A11" w:rsidRPr="002D0668">
        <w:t>статья 306.4 Бюджетного кодекса Российской Федерации)</w:t>
      </w:r>
      <w:r w:rsidRPr="002D0668">
        <w:rPr>
          <w:rFonts w:eastAsiaTheme="minorEastAsia"/>
        </w:rPr>
        <w:t>.</w:t>
      </w:r>
    </w:p>
    <w:p w:rsidR="00AE4DB8" w:rsidRPr="00042345" w:rsidRDefault="00AE4DB8" w:rsidP="00082DC7">
      <w:pPr>
        <w:pStyle w:val="conten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42345">
        <w:rPr>
          <w:b/>
          <w:sz w:val="26"/>
          <w:szCs w:val="26"/>
        </w:rPr>
        <w:t>Использование бюджетных средств не по целевому назначению влечет административную ответственность, предусмотренную статьёй 15.14 КоАП РФ.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b/>
        </w:rPr>
        <w:t>Материалы, касающиеся нецелевого использования средств федерального бюджета, для принятия соответствующих мер принуждения и ответственности, направлены в Управление Федерального казначейства по Калужской области.</w:t>
      </w:r>
    </w:p>
    <w:p w:rsidR="00AC014A" w:rsidRPr="00042345" w:rsidRDefault="00445FD1" w:rsidP="00082DC7">
      <w:pPr>
        <w:pStyle w:val="a8"/>
        <w:spacing w:before="0" w:after="0"/>
        <w:ind w:firstLine="568"/>
        <w:jc w:val="both"/>
        <w:rPr>
          <w:sz w:val="26"/>
          <w:szCs w:val="26"/>
        </w:rPr>
      </w:pPr>
      <w:r w:rsidRPr="00042345">
        <w:rPr>
          <w:b/>
          <w:bCs/>
          <w:color w:val="000000"/>
          <w:sz w:val="26"/>
          <w:szCs w:val="26"/>
        </w:rPr>
        <w:lastRenderedPageBreak/>
        <w:t xml:space="preserve">2. </w:t>
      </w:r>
      <w:r w:rsidR="00C507E7" w:rsidRPr="00042345">
        <w:rPr>
          <w:b/>
          <w:bCs/>
          <w:color w:val="000000"/>
          <w:sz w:val="26"/>
          <w:szCs w:val="26"/>
        </w:rPr>
        <w:t>Н</w:t>
      </w:r>
      <w:r w:rsidR="00E91578" w:rsidRPr="00042345">
        <w:rPr>
          <w:b/>
          <w:bCs/>
          <w:color w:val="000000"/>
          <w:sz w:val="26"/>
          <w:szCs w:val="26"/>
        </w:rPr>
        <w:t xml:space="preserve">еэффективное использование средств областного бюджета </w:t>
      </w:r>
      <w:r w:rsidR="0050425D" w:rsidRPr="00042345">
        <w:rPr>
          <w:sz w:val="26"/>
          <w:szCs w:val="26"/>
        </w:rPr>
        <w:t xml:space="preserve">в ГБУЗ КО «Городская поликлиника», </w:t>
      </w:r>
      <w:r w:rsidR="00E91578" w:rsidRPr="00042345">
        <w:rPr>
          <w:sz w:val="26"/>
          <w:szCs w:val="26"/>
        </w:rPr>
        <w:t xml:space="preserve">в части </w:t>
      </w:r>
      <w:r w:rsidR="0050425D" w:rsidRPr="00042345">
        <w:rPr>
          <w:bCs/>
          <w:sz w:val="26"/>
          <w:szCs w:val="26"/>
        </w:rPr>
        <w:t xml:space="preserve">оплаты </w:t>
      </w:r>
      <w:r w:rsidR="0050425D" w:rsidRPr="00042345">
        <w:rPr>
          <w:rFonts w:eastAsiaTheme="minorEastAsia"/>
          <w:sz w:val="26"/>
          <w:szCs w:val="26"/>
        </w:rPr>
        <w:t>тактильной наземной плитки в количестве 16 шт., которая на момент проведения визуального осмотра</w:t>
      </w:r>
      <w:r w:rsidR="00460156" w:rsidRPr="00042345">
        <w:rPr>
          <w:rFonts w:eastAsiaTheme="minorEastAsia"/>
          <w:sz w:val="26"/>
          <w:szCs w:val="26"/>
        </w:rPr>
        <w:t xml:space="preserve"> (1</w:t>
      </w:r>
      <w:r w:rsidR="0050425D" w:rsidRPr="00042345">
        <w:rPr>
          <w:rFonts w:eastAsiaTheme="minorEastAsia"/>
          <w:sz w:val="26"/>
          <w:szCs w:val="26"/>
        </w:rPr>
        <w:t>3</w:t>
      </w:r>
      <w:r w:rsidR="00460156" w:rsidRPr="00042345">
        <w:rPr>
          <w:rFonts w:eastAsiaTheme="minorEastAsia"/>
          <w:sz w:val="26"/>
          <w:szCs w:val="26"/>
        </w:rPr>
        <w:t> </w:t>
      </w:r>
      <w:r w:rsidR="0050425D" w:rsidRPr="00042345">
        <w:rPr>
          <w:rFonts w:eastAsiaTheme="minorEastAsia"/>
          <w:sz w:val="26"/>
          <w:szCs w:val="26"/>
        </w:rPr>
        <w:t>сентября 2019 года) не была установлена, и не использовалась по назначению.</w:t>
      </w:r>
      <w:r w:rsidR="00AC014A" w:rsidRPr="00042345">
        <w:rPr>
          <w:b/>
        </w:rPr>
        <w:t xml:space="preserve"> </w:t>
      </w:r>
      <w:r w:rsidR="00AC014A" w:rsidRPr="00042345">
        <w:t>(</w:t>
      </w:r>
      <w:r w:rsidR="00AC014A" w:rsidRPr="00042345">
        <w:rPr>
          <w:sz w:val="26"/>
          <w:szCs w:val="26"/>
        </w:rPr>
        <w:t>статья 34 Бюджетного кодекса Российской Федерации).</w:t>
      </w:r>
    </w:p>
    <w:p w:rsidR="00E91578" w:rsidRPr="00042345" w:rsidRDefault="00445FD1" w:rsidP="00082DC7">
      <w:pPr>
        <w:tabs>
          <w:tab w:val="left" w:pos="720"/>
        </w:tabs>
        <w:ind w:firstLine="567"/>
        <w:jc w:val="both"/>
      </w:pPr>
      <w:r w:rsidRPr="00042345">
        <w:rPr>
          <w:b/>
        </w:rPr>
        <w:t>3</w:t>
      </w:r>
      <w:r w:rsidR="00E91578" w:rsidRPr="00042345">
        <w:rPr>
          <w:b/>
        </w:rPr>
        <w:t>. </w:t>
      </w:r>
      <w:r w:rsidR="00C507E7" w:rsidRPr="00042345">
        <w:rPr>
          <w:b/>
        </w:rPr>
        <w:t>Н</w:t>
      </w:r>
      <w:r w:rsidR="00E91578" w:rsidRPr="00042345">
        <w:rPr>
          <w:b/>
        </w:rPr>
        <w:t>арушения</w:t>
      </w:r>
      <w:r w:rsidR="00E91578" w:rsidRPr="00042345">
        <w:t xml:space="preserve"> </w:t>
      </w:r>
      <w:r w:rsidR="00E91578" w:rsidRPr="00042345">
        <w:rPr>
          <w:b/>
        </w:rPr>
        <w:t>при осуществлении государственных закупок, не имеющие стоимостной оценки</w:t>
      </w:r>
      <w:r w:rsidR="00AC014A" w:rsidRPr="00042345">
        <w:rPr>
          <w:b/>
        </w:rPr>
        <w:t xml:space="preserve">, </w:t>
      </w:r>
      <w:r w:rsidR="00AC014A" w:rsidRPr="00042345">
        <w:t>в части</w:t>
      </w:r>
      <w:r w:rsidR="00E91578" w:rsidRPr="00042345">
        <w:t>:</w:t>
      </w:r>
    </w:p>
    <w:p w:rsidR="00145ABF" w:rsidRPr="00042345" w:rsidRDefault="00E91578" w:rsidP="00082DC7">
      <w:pPr>
        <w:ind w:firstLine="567"/>
        <w:jc w:val="both"/>
      </w:pPr>
      <w:r w:rsidRPr="00042345">
        <w:t xml:space="preserve">- </w:t>
      </w:r>
      <w:r w:rsidR="00145ABF" w:rsidRPr="00042345">
        <w:t>несоблюдения сроков оплаты поставленного товара, выполненной работы по 13</w:t>
      </w:r>
      <w:r w:rsidR="002D0668">
        <w:t xml:space="preserve"> договорам (контрактам)</w:t>
      </w:r>
      <w:r w:rsidR="00145ABF" w:rsidRPr="00042345">
        <w:t xml:space="preserve"> </w:t>
      </w:r>
      <w:r w:rsidR="00644946" w:rsidRPr="00042345">
        <w:t>(</w:t>
      </w:r>
      <w:r w:rsidR="008A6A00" w:rsidRPr="00042345">
        <w:t>статья</w:t>
      </w:r>
      <w:r w:rsidRPr="00042345">
        <w:t xml:space="preserve"> 309</w:t>
      </w:r>
      <w:r w:rsidR="008A6A00" w:rsidRPr="00042345">
        <w:t xml:space="preserve"> Гражданского кодекса РФ, статья </w:t>
      </w:r>
      <w:r w:rsidR="002D0668">
        <w:t xml:space="preserve">                            </w:t>
      </w:r>
      <w:r w:rsidR="008A6A00" w:rsidRPr="00042345">
        <w:t xml:space="preserve">34 </w:t>
      </w:r>
      <w:r w:rsidR="002F3CCA" w:rsidRPr="0029759C">
        <w:rPr>
          <w:rFonts w:eastAsia="Calibri"/>
        </w:rPr>
        <w:t xml:space="preserve">Федерального закона </w:t>
      </w:r>
      <w:r w:rsidR="002D0668" w:rsidRPr="00047B81">
        <w:t xml:space="preserve">от 05.04.2013 № 44-ФЗ </w:t>
      </w:r>
      <w:r w:rsidR="002F3CCA" w:rsidRPr="0029759C">
        <w:rPr>
          <w:rFonts w:eastAsia="Calibri"/>
        </w:rPr>
        <w:t>«О контрактной системе в сфере закупок товаров, работ, услуг для обеспечения государс</w:t>
      </w:r>
      <w:r w:rsidR="002D0668">
        <w:rPr>
          <w:rFonts w:eastAsia="Calibri"/>
        </w:rPr>
        <w:t>твенных и муниципальных нужд»</w:t>
      </w:r>
      <w:r w:rsidR="002F3CCA" w:rsidRPr="00047B81">
        <w:t xml:space="preserve"> (далее – Закон № 44-ФЗ)</w:t>
      </w:r>
      <w:r w:rsidR="002F3CCA">
        <w:t xml:space="preserve"> </w:t>
      </w:r>
      <w:r w:rsidR="008A6A00" w:rsidRPr="00042345">
        <w:t>и условия</w:t>
      </w:r>
      <w:r w:rsidRPr="00042345">
        <w:t xml:space="preserve"> договор</w:t>
      </w:r>
      <w:r w:rsidR="00257A8F" w:rsidRPr="00042345">
        <w:t>ов</w:t>
      </w:r>
      <w:r w:rsidR="00644946" w:rsidRPr="00042345">
        <w:t>)</w:t>
      </w:r>
      <w:r w:rsidR="00145ABF" w:rsidRPr="00042345">
        <w:t>, а именно:</w:t>
      </w:r>
    </w:p>
    <w:p w:rsidR="00145ABF" w:rsidRPr="00042345" w:rsidRDefault="00145ABF" w:rsidP="00082DC7">
      <w:pPr>
        <w:ind w:firstLine="567"/>
        <w:jc w:val="both"/>
      </w:pPr>
      <w:r w:rsidRPr="00042345">
        <w:t>1) по 11 гражданско-правовым договорам (контрактам), заключенным учреждениями, подведомственными министерству труда и социальной защиты Калужской области;</w:t>
      </w:r>
    </w:p>
    <w:p w:rsidR="00E91578" w:rsidRPr="00042345" w:rsidRDefault="00145ABF" w:rsidP="00082DC7">
      <w:pPr>
        <w:ind w:firstLine="567"/>
        <w:jc w:val="both"/>
      </w:pPr>
      <w:r w:rsidRPr="00042345">
        <w:t>2) по 2 гражданско-правовым договорам (контрактам), заключенным учреждениями, подведомственными министер</w:t>
      </w:r>
      <w:r w:rsidR="002D0668">
        <w:t>ству культуры Калужской области;</w:t>
      </w:r>
    </w:p>
    <w:p w:rsidR="00145ABF" w:rsidRPr="00042345" w:rsidRDefault="00145ABF" w:rsidP="00082DC7">
      <w:pPr>
        <w:ind w:firstLine="567"/>
        <w:jc w:val="both"/>
        <w:rPr>
          <w:rFonts w:eastAsia="Calibri"/>
        </w:rPr>
      </w:pPr>
      <w:r w:rsidRPr="00042345">
        <w:t>-</w:t>
      </w:r>
      <w:r w:rsidRPr="00042345">
        <w:rPr>
          <w:color w:val="000000"/>
        </w:rPr>
        <w:t xml:space="preserve"> </w:t>
      </w:r>
      <w:r w:rsidRPr="00042345">
        <w:t xml:space="preserve">отсутствия в договоре </w:t>
      </w:r>
      <w:r w:rsidRPr="00042345">
        <w:rPr>
          <w:rFonts w:eastAsia="Calibri"/>
        </w:rPr>
        <w:t>от 17.08.2018 № 19</w:t>
      </w:r>
      <w:r w:rsidR="002D0668">
        <w:t>, заключенно</w:t>
      </w:r>
      <w:r w:rsidRPr="00042345">
        <w:t xml:space="preserve">м ГКУ КО «Центр занятости Сухиничского района» </w:t>
      </w:r>
      <w:r w:rsidRPr="00042345">
        <w:rPr>
          <w:rFonts w:eastAsia="Calibri"/>
        </w:rPr>
        <w:t xml:space="preserve">с ИП Сусленков А.А. </w:t>
      </w:r>
      <w:r w:rsidRPr="00042345">
        <w:t>условий о твёрдой цене.</w:t>
      </w:r>
      <w:r w:rsidRPr="00042345">
        <w:rPr>
          <w:color w:val="000000"/>
        </w:rPr>
        <w:t xml:space="preserve"> (часть 2 статьи 34 </w:t>
      </w:r>
      <w:r w:rsidRPr="00042345">
        <w:t>Закона № 44-ФЗ).</w:t>
      </w:r>
    </w:p>
    <w:p w:rsidR="00C73A11" w:rsidRPr="008A7362" w:rsidRDefault="00C73A11" w:rsidP="00082DC7">
      <w:pPr>
        <w:ind w:firstLine="567"/>
        <w:jc w:val="both"/>
      </w:pPr>
      <w:r w:rsidRPr="00042345">
        <w:t>В адрес министерства труда и социальной защиты Калужской области, министерства зд</w:t>
      </w:r>
      <w:r w:rsidR="00042345" w:rsidRPr="00042345">
        <w:t>равоохранения Калужской области,</w:t>
      </w:r>
      <w:r w:rsidRPr="00042345">
        <w:t xml:space="preserve"> </w:t>
      </w:r>
      <w:r w:rsidR="00042345" w:rsidRPr="00042345">
        <w:t>министерства экономического развития Калужской области,</w:t>
      </w:r>
      <w:r w:rsidRPr="00042345">
        <w:t xml:space="preserve"> министерства культуры Калужской области</w:t>
      </w:r>
      <w:r w:rsidR="00042345" w:rsidRPr="00042345">
        <w:t>,</w:t>
      </w:r>
      <w:r w:rsidRPr="00042345">
        <w:t xml:space="preserve"> </w:t>
      </w:r>
      <w:r w:rsidR="00042345" w:rsidRPr="00042345">
        <w:t>ГБУ КО «Многофункциональный центр предоставления государственных и ГКУ «Центр занятости населения Жуковского района»</w:t>
      </w:r>
      <w:r w:rsidR="00042345">
        <w:t xml:space="preserve"> </w:t>
      </w:r>
      <w:r w:rsidRPr="008A7362">
        <w:t>направлены представления с соответствующими предложениями по устранению выявленных нарушений.</w:t>
      </w:r>
    </w:p>
    <w:p w:rsidR="00C73A11" w:rsidRPr="00992479" w:rsidRDefault="002D0668" w:rsidP="002D0668">
      <w:pPr>
        <w:tabs>
          <w:tab w:val="left" w:pos="0"/>
          <w:tab w:val="left" w:pos="567"/>
        </w:tabs>
        <w:jc w:val="both"/>
      </w:pPr>
      <w:r>
        <w:tab/>
      </w:r>
      <w:bookmarkStart w:id="0" w:name="_GoBack"/>
      <w:bookmarkEnd w:id="0"/>
      <w:r w:rsidR="00C73A11">
        <w:t>Итог</w:t>
      </w:r>
      <w:r w:rsidR="00042345">
        <w:t>и</w:t>
      </w:r>
      <w:r w:rsidR="00C73A11">
        <w:t xml:space="preserve"> проверки рассмотрены на коллегии</w:t>
      </w:r>
      <w:r w:rsidR="00C73A11" w:rsidRPr="00EC68E0">
        <w:t xml:space="preserve"> Контрольно-счётн</w:t>
      </w:r>
      <w:r w:rsidR="00C73A11">
        <w:t>ой</w:t>
      </w:r>
      <w:r w:rsidR="00C73A11" w:rsidRPr="00EC68E0">
        <w:t xml:space="preserve"> палат</w:t>
      </w:r>
      <w:r w:rsidR="00C73A11">
        <w:t>ы</w:t>
      </w:r>
      <w:r w:rsidR="00C73A11" w:rsidRPr="00EC68E0">
        <w:t xml:space="preserve"> Калужской области</w:t>
      </w:r>
      <w:r w:rsidR="00C73A11">
        <w:t>.</w:t>
      </w:r>
      <w:r w:rsidR="00C73A11" w:rsidRPr="00EC68E0">
        <w:rPr>
          <w:b/>
        </w:rPr>
        <w:t xml:space="preserve"> </w:t>
      </w:r>
    </w:p>
    <w:sectPr w:rsidR="00C73A11" w:rsidRPr="009924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54" w:rsidRDefault="00DE7B54" w:rsidP="00DE7B54">
      <w:r>
        <w:separator/>
      </w:r>
    </w:p>
  </w:endnote>
  <w:endnote w:type="continuationSeparator" w:id="0">
    <w:p w:rsidR="00DE7B54" w:rsidRDefault="00DE7B54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68">
          <w:rPr>
            <w:noProof/>
          </w:rPr>
          <w:t>1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54" w:rsidRDefault="00DE7B54" w:rsidP="00DE7B54">
      <w:r>
        <w:separator/>
      </w:r>
    </w:p>
  </w:footnote>
  <w:footnote w:type="continuationSeparator" w:id="0">
    <w:p w:rsidR="00DE7B54" w:rsidRDefault="00DE7B54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788"/>
    <w:multiLevelType w:val="hybridMultilevel"/>
    <w:tmpl w:val="6F4A05DC"/>
    <w:lvl w:ilvl="0" w:tplc="6908E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E9E"/>
    <w:multiLevelType w:val="hybridMultilevel"/>
    <w:tmpl w:val="A4365A94"/>
    <w:lvl w:ilvl="0" w:tplc="81A8967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F052D1"/>
    <w:multiLevelType w:val="hybridMultilevel"/>
    <w:tmpl w:val="850A4ED8"/>
    <w:lvl w:ilvl="0" w:tplc="2DD81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3DD6B12"/>
    <w:multiLevelType w:val="hybridMultilevel"/>
    <w:tmpl w:val="7DAE056C"/>
    <w:lvl w:ilvl="0" w:tplc="0352DF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9B5CDB"/>
    <w:multiLevelType w:val="hybridMultilevel"/>
    <w:tmpl w:val="283867CC"/>
    <w:lvl w:ilvl="0" w:tplc="C6183C5C">
      <w:start w:val="1"/>
      <w:numFmt w:val="decimal"/>
      <w:lvlText w:val="%1."/>
      <w:lvlJc w:val="left"/>
      <w:pPr>
        <w:ind w:left="1437" w:hanging="87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42345"/>
    <w:rsid w:val="0005285D"/>
    <w:rsid w:val="0007648B"/>
    <w:rsid w:val="00082DC7"/>
    <w:rsid w:val="000F4BE9"/>
    <w:rsid w:val="00145ABF"/>
    <w:rsid w:val="00165DBA"/>
    <w:rsid w:val="001F7D0C"/>
    <w:rsid w:val="00212425"/>
    <w:rsid w:val="00257A8F"/>
    <w:rsid w:val="002D0668"/>
    <w:rsid w:val="002D6F40"/>
    <w:rsid w:val="002F1687"/>
    <w:rsid w:val="002F3CCA"/>
    <w:rsid w:val="003A6EC8"/>
    <w:rsid w:val="003E6214"/>
    <w:rsid w:val="00445FD1"/>
    <w:rsid w:val="00460156"/>
    <w:rsid w:val="00476E17"/>
    <w:rsid w:val="0050425D"/>
    <w:rsid w:val="005A15C0"/>
    <w:rsid w:val="005D6741"/>
    <w:rsid w:val="00644946"/>
    <w:rsid w:val="006A67F6"/>
    <w:rsid w:val="006B61F3"/>
    <w:rsid w:val="006D5DAD"/>
    <w:rsid w:val="0076446E"/>
    <w:rsid w:val="00870EE9"/>
    <w:rsid w:val="008A6A00"/>
    <w:rsid w:val="008A718B"/>
    <w:rsid w:val="008C4AB5"/>
    <w:rsid w:val="009A35B2"/>
    <w:rsid w:val="00A80026"/>
    <w:rsid w:val="00AB070F"/>
    <w:rsid w:val="00AC014A"/>
    <w:rsid w:val="00AC5442"/>
    <w:rsid w:val="00AE4DB8"/>
    <w:rsid w:val="00C507E7"/>
    <w:rsid w:val="00C73A11"/>
    <w:rsid w:val="00D4307B"/>
    <w:rsid w:val="00DB24AD"/>
    <w:rsid w:val="00DE7B54"/>
    <w:rsid w:val="00E91578"/>
    <w:rsid w:val="00F1102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8E-D2F9-4AD6-B6DB-350421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rsid w:val="0004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67EA-C424-4DD0-9302-BFF9370D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2019-06-21T11:03:00Z</dcterms:created>
  <dcterms:modified xsi:type="dcterms:W3CDTF">2019-10-25T10:01:00Z</dcterms:modified>
</cp:coreProperties>
</file>