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C6" w:rsidRDefault="003C25C6" w:rsidP="003C25C6">
      <w:pPr>
        <w:spacing w:after="0" w:line="240" w:lineRule="auto"/>
        <w:ind w:firstLine="567"/>
        <w:jc w:val="both"/>
        <w:rPr>
          <w:rFonts w:ascii="Times New Roman" w:eastAsia="Calibri" w:hAnsi="Times New Roman" w:cs="Times New Roman"/>
          <w:sz w:val="26"/>
          <w:szCs w:val="26"/>
          <w:lang w:eastAsia="ru-RU"/>
        </w:rPr>
      </w:pPr>
    </w:p>
    <w:p w:rsidR="003C25C6" w:rsidRPr="003C25C6" w:rsidRDefault="003C25C6" w:rsidP="003C25C6">
      <w:pPr>
        <w:spacing w:after="0" w:line="240" w:lineRule="auto"/>
        <w:jc w:val="center"/>
        <w:rPr>
          <w:rFonts w:ascii="Times New Roman" w:eastAsia="Calibri" w:hAnsi="Times New Roman" w:cs="Times New Roman"/>
          <w:b/>
          <w:sz w:val="26"/>
          <w:szCs w:val="26"/>
        </w:rPr>
      </w:pPr>
      <w:r w:rsidRPr="003C25C6">
        <w:rPr>
          <w:rFonts w:ascii="Times New Roman" w:eastAsia="Calibri" w:hAnsi="Times New Roman" w:cs="Times New Roman"/>
          <w:b/>
          <w:sz w:val="26"/>
          <w:szCs w:val="26"/>
        </w:rPr>
        <w:t>Информация</w:t>
      </w:r>
    </w:p>
    <w:p w:rsidR="003C25C6" w:rsidRDefault="003C25C6" w:rsidP="003C25C6">
      <w:pPr>
        <w:spacing w:after="0" w:line="240" w:lineRule="auto"/>
        <w:ind w:firstLine="567"/>
        <w:jc w:val="center"/>
        <w:rPr>
          <w:rFonts w:ascii="Times New Roman" w:eastAsia="Calibri" w:hAnsi="Times New Roman" w:cs="Times New Roman"/>
          <w:sz w:val="26"/>
          <w:szCs w:val="26"/>
          <w:lang w:eastAsia="ru-RU"/>
        </w:rPr>
      </w:pPr>
      <w:r w:rsidRPr="003C25C6">
        <w:rPr>
          <w:rFonts w:ascii="Times New Roman" w:eastAsia="Calibri" w:hAnsi="Times New Roman" w:cs="Times New Roman"/>
          <w:b/>
          <w:bCs/>
          <w:sz w:val="26"/>
          <w:szCs w:val="26"/>
        </w:rPr>
        <w:t xml:space="preserve">о результатах контрольного </w:t>
      </w:r>
      <w:proofErr w:type="gramStart"/>
      <w:r w:rsidRPr="003C25C6">
        <w:rPr>
          <w:rFonts w:ascii="Times New Roman" w:eastAsia="Calibri" w:hAnsi="Times New Roman" w:cs="Times New Roman"/>
          <w:b/>
          <w:bCs/>
          <w:sz w:val="26"/>
          <w:szCs w:val="26"/>
        </w:rPr>
        <w:t>мероприятия</w:t>
      </w:r>
      <w:r w:rsidRPr="003C25C6">
        <w:rPr>
          <w:rFonts w:ascii="Times New Roman" w:eastAsia="Calibri" w:hAnsi="Times New Roman" w:cs="Times New Roman"/>
          <w:b/>
          <w:bCs/>
          <w:sz w:val="26"/>
          <w:szCs w:val="26"/>
        </w:rPr>
        <w:br/>
      </w:r>
      <w:r w:rsidRPr="003C25C6">
        <w:rPr>
          <w:rFonts w:ascii="Times New Roman" w:eastAsia="Times New Roman" w:hAnsi="Times New Roman" w:cs="Times New Roman"/>
          <w:b/>
          <w:sz w:val="26"/>
          <w:szCs w:val="26"/>
          <w:lang w:eastAsia="ru-RU"/>
        </w:rPr>
        <w:t>«</w:t>
      </w:r>
      <w:proofErr w:type="gramEnd"/>
      <w:r w:rsidRPr="003C25C6">
        <w:rPr>
          <w:rFonts w:ascii="Times New Roman" w:eastAsia="Calibri" w:hAnsi="Times New Roman" w:cs="Times New Roman"/>
          <w:b/>
          <w:sz w:val="26"/>
          <w:szCs w:val="26"/>
        </w:rPr>
        <w:t xml:space="preserve">Проверка отдельных вопросов исполнения бюджета Территориального фонда обязательного медицинского страхования Калужской области за 2016-2018 годы и </w:t>
      </w:r>
      <w:r w:rsidRPr="003C25C6">
        <w:rPr>
          <w:rFonts w:ascii="Times New Roman" w:eastAsia="Calibri" w:hAnsi="Times New Roman" w:cs="Times New Roman"/>
          <w:b/>
          <w:sz w:val="26"/>
          <w:szCs w:val="26"/>
          <w:lang w:val="en-US"/>
        </w:rPr>
        <w:t>I</w:t>
      </w:r>
      <w:r w:rsidRPr="003C25C6">
        <w:rPr>
          <w:rFonts w:ascii="Times New Roman" w:eastAsia="Calibri" w:hAnsi="Times New Roman" w:cs="Times New Roman"/>
          <w:b/>
          <w:sz w:val="26"/>
          <w:szCs w:val="26"/>
        </w:rPr>
        <w:t> квартал 2019 года</w:t>
      </w:r>
      <w:r w:rsidRPr="003C25C6">
        <w:rPr>
          <w:rFonts w:ascii="Times New Roman" w:eastAsia="Times New Roman" w:hAnsi="Times New Roman" w:cs="Times New Roman"/>
          <w:b/>
          <w:sz w:val="26"/>
          <w:szCs w:val="26"/>
          <w:lang w:eastAsia="ru-RU"/>
        </w:rPr>
        <w:t>»</w:t>
      </w:r>
    </w:p>
    <w:p w:rsidR="003C25C6" w:rsidRDefault="003C25C6" w:rsidP="003C25C6">
      <w:pPr>
        <w:spacing w:after="0" w:line="240" w:lineRule="auto"/>
        <w:ind w:firstLine="567"/>
        <w:jc w:val="both"/>
        <w:rPr>
          <w:rFonts w:ascii="Times New Roman" w:eastAsia="Calibri" w:hAnsi="Times New Roman" w:cs="Times New Roman"/>
          <w:sz w:val="26"/>
          <w:szCs w:val="26"/>
          <w:lang w:eastAsia="ru-RU"/>
        </w:rPr>
      </w:pPr>
    </w:p>
    <w:p w:rsidR="003C25C6" w:rsidRDefault="003C25C6" w:rsidP="003C25C6">
      <w:pPr>
        <w:spacing w:after="0" w:line="240" w:lineRule="auto"/>
        <w:ind w:firstLine="567"/>
        <w:jc w:val="both"/>
        <w:rPr>
          <w:rFonts w:ascii="Times New Roman" w:eastAsia="Calibri" w:hAnsi="Times New Roman" w:cs="Times New Roman"/>
          <w:sz w:val="26"/>
          <w:szCs w:val="26"/>
          <w:lang w:eastAsia="ru-RU"/>
        </w:rPr>
      </w:pPr>
    </w:p>
    <w:p w:rsidR="003C25C6" w:rsidRPr="003C25C6" w:rsidRDefault="003C25C6" w:rsidP="003C25C6">
      <w:pPr>
        <w:spacing w:after="0" w:line="240" w:lineRule="auto"/>
        <w:ind w:firstLine="567"/>
        <w:jc w:val="both"/>
        <w:rPr>
          <w:rFonts w:ascii="Times New Roman" w:eastAsia="Times New Roman" w:hAnsi="Times New Roman" w:cs="Times New Roman"/>
          <w:sz w:val="26"/>
          <w:szCs w:val="26"/>
          <w:lang w:eastAsia="ru-RU"/>
        </w:rPr>
      </w:pPr>
      <w:r w:rsidRPr="003C25C6">
        <w:rPr>
          <w:rFonts w:ascii="Times New Roman" w:eastAsia="Calibri" w:hAnsi="Times New Roman" w:cs="Times New Roman"/>
          <w:sz w:val="26"/>
          <w:szCs w:val="26"/>
          <w:lang w:eastAsia="ru-RU"/>
        </w:rPr>
        <w:t xml:space="preserve">В соответствии с пунктом 1.8 плана работы на 2019 год Контрольно-счётной палаты Калужской области </w:t>
      </w:r>
      <w:r w:rsidRPr="003C25C6">
        <w:rPr>
          <w:rFonts w:ascii="Times New Roman" w:eastAsia="Times New Roman" w:hAnsi="Times New Roman" w:cs="Times New Roman"/>
          <w:sz w:val="26"/>
          <w:szCs w:val="26"/>
          <w:lang w:eastAsia="ru-RU"/>
        </w:rPr>
        <w:t>проведено контрольное мероприятие «</w:t>
      </w:r>
      <w:r w:rsidRPr="003C25C6">
        <w:rPr>
          <w:rFonts w:ascii="Times New Roman" w:eastAsia="Calibri" w:hAnsi="Times New Roman" w:cs="Times New Roman"/>
          <w:sz w:val="26"/>
          <w:szCs w:val="26"/>
        </w:rPr>
        <w:t>Проверка отдельных вопросов исполнения бюджета Территориального фонда обязательного медицинского страхования Калужской области за 2016-2018 годы</w:t>
      </w:r>
      <w:r>
        <w:rPr>
          <w:rFonts w:ascii="Times New Roman" w:eastAsia="Calibri" w:hAnsi="Times New Roman" w:cs="Times New Roman"/>
          <w:sz w:val="26"/>
          <w:szCs w:val="26"/>
        </w:rPr>
        <w:t xml:space="preserve"> </w:t>
      </w:r>
      <w:r w:rsidRPr="003C25C6">
        <w:rPr>
          <w:rFonts w:ascii="Times New Roman" w:eastAsia="Calibri" w:hAnsi="Times New Roman" w:cs="Times New Roman"/>
          <w:sz w:val="26"/>
          <w:szCs w:val="26"/>
        </w:rPr>
        <w:t xml:space="preserve">и </w:t>
      </w:r>
      <w:r w:rsidRPr="003C25C6">
        <w:rPr>
          <w:rFonts w:ascii="Times New Roman" w:eastAsia="Calibri" w:hAnsi="Times New Roman" w:cs="Times New Roman"/>
          <w:sz w:val="26"/>
          <w:szCs w:val="26"/>
          <w:lang w:val="en-US"/>
        </w:rPr>
        <w:t>I</w:t>
      </w:r>
      <w:r w:rsidRPr="003C25C6">
        <w:rPr>
          <w:rFonts w:ascii="Times New Roman" w:eastAsia="Calibri" w:hAnsi="Times New Roman" w:cs="Times New Roman"/>
          <w:sz w:val="26"/>
          <w:szCs w:val="26"/>
        </w:rPr>
        <w:t> квартал 2019 года</w:t>
      </w:r>
      <w:r w:rsidRPr="003C25C6">
        <w:rPr>
          <w:rFonts w:ascii="Times New Roman" w:eastAsia="Times New Roman" w:hAnsi="Times New Roman" w:cs="Times New Roman"/>
          <w:sz w:val="26"/>
          <w:szCs w:val="26"/>
          <w:lang w:eastAsia="ru-RU"/>
        </w:rPr>
        <w:t>».</w:t>
      </w:r>
    </w:p>
    <w:p w:rsidR="003C25C6" w:rsidRPr="003C25C6" w:rsidRDefault="003C25C6" w:rsidP="003C25C6">
      <w:pPr>
        <w:tabs>
          <w:tab w:val="left" w:pos="851"/>
        </w:tabs>
        <w:spacing w:after="0" w:line="240" w:lineRule="auto"/>
        <w:ind w:firstLine="567"/>
        <w:contextualSpacing/>
        <w:jc w:val="both"/>
        <w:outlineLvl w:val="0"/>
        <w:rPr>
          <w:rFonts w:ascii="Times New Roman" w:eastAsia="Calibri" w:hAnsi="Times New Roman" w:cs="Arial"/>
          <w:sz w:val="26"/>
          <w:szCs w:val="26"/>
        </w:rPr>
      </w:pPr>
      <w:r w:rsidRPr="003C25C6">
        <w:rPr>
          <w:rFonts w:ascii="Times New Roman" w:eastAsia="Times New Roman" w:hAnsi="Times New Roman" w:cs="Times New Roman"/>
          <w:sz w:val="26"/>
          <w:szCs w:val="26"/>
          <w:lang w:eastAsia="ru-RU"/>
        </w:rPr>
        <w:t xml:space="preserve">К акту по результатам контрольного мероприятия были представлены возражения (письмо от 28.05.2019 № 3-950. </w:t>
      </w:r>
      <w:r w:rsidRPr="003C25C6">
        <w:rPr>
          <w:rFonts w:ascii="Times New Roman" w:eastAsia="Calibri" w:hAnsi="Times New Roman" w:cs="Arial"/>
          <w:sz w:val="26"/>
          <w:szCs w:val="26"/>
        </w:rPr>
        <w:t xml:space="preserve">Коллегией Контрольно-счётной палаты Калужской области 18.06.2019 (протокол № 16) были рассмотрены возражения к акту. Коллегией Палаты утверждено </w:t>
      </w:r>
      <w:r w:rsidR="00071608">
        <w:rPr>
          <w:rFonts w:ascii="Times New Roman" w:eastAsia="Calibri" w:hAnsi="Times New Roman" w:cs="Arial"/>
          <w:sz w:val="26"/>
          <w:szCs w:val="26"/>
        </w:rPr>
        <w:t>заключение на возражения Фонда.</w:t>
      </w:r>
    </w:p>
    <w:p w:rsidR="003C25C6" w:rsidRPr="003C25C6" w:rsidRDefault="003C25C6" w:rsidP="003C25C6">
      <w:pPr>
        <w:spacing w:after="0" w:line="240" w:lineRule="auto"/>
        <w:ind w:firstLine="567"/>
        <w:jc w:val="both"/>
        <w:rPr>
          <w:rFonts w:ascii="Times New Roman" w:eastAsia="Times New Roman" w:hAnsi="Times New Roman" w:cs="Times New Roman"/>
          <w:sz w:val="26"/>
          <w:szCs w:val="26"/>
          <w:lang w:eastAsia="ru-RU"/>
        </w:rPr>
      </w:pPr>
    </w:p>
    <w:p w:rsidR="003C25C6" w:rsidRPr="003C25C6" w:rsidRDefault="003C25C6" w:rsidP="003C25C6">
      <w:pPr>
        <w:tabs>
          <w:tab w:val="left" w:pos="567"/>
        </w:tabs>
        <w:spacing w:after="0" w:line="240" w:lineRule="auto"/>
        <w:contextualSpacing/>
        <w:jc w:val="both"/>
        <w:outlineLvl w:val="0"/>
        <w:rPr>
          <w:rFonts w:ascii="Times New Roman" w:eastAsia="Times New Roman" w:hAnsi="Times New Roman" w:cs="Times New Roman"/>
          <w:sz w:val="26"/>
          <w:szCs w:val="26"/>
          <w:lang w:eastAsia="ru-RU"/>
        </w:rPr>
      </w:pPr>
      <w:r w:rsidRPr="003C25C6">
        <w:rPr>
          <w:rFonts w:ascii="Times New Roman" w:eastAsia="Times New Roman" w:hAnsi="Times New Roman" w:cs="Times New Roman"/>
          <w:sz w:val="26"/>
          <w:szCs w:val="26"/>
          <w:lang w:eastAsia="ru-RU"/>
        </w:rPr>
        <w:tab/>
        <w:t xml:space="preserve">С учётом принятого Коллегией решения общая сумма финансовых нарушений, выявленных в ходе контрольного мероприятия, составила </w:t>
      </w:r>
      <w:r w:rsidRPr="003C25C6">
        <w:rPr>
          <w:rFonts w:ascii="Times New Roman" w:eastAsia="Times New Roman" w:hAnsi="Times New Roman" w:cs="Times New Roman"/>
          <w:b/>
          <w:sz w:val="26"/>
          <w:szCs w:val="26"/>
          <w:lang w:eastAsia="ru-RU"/>
        </w:rPr>
        <w:t>26 663,6 тыс. руб.</w:t>
      </w:r>
      <w:r w:rsidRPr="003C25C6">
        <w:rPr>
          <w:rFonts w:ascii="Times New Roman" w:eastAsia="Times New Roman" w:hAnsi="Times New Roman" w:cs="Times New Roman"/>
          <w:sz w:val="26"/>
          <w:szCs w:val="26"/>
          <w:lang w:eastAsia="ru-RU"/>
        </w:rPr>
        <w:t>, из них:</w:t>
      </w:r>
    </w:p>
    <w:p w:rsidR="003C25C6" w:rsidRPr="003C25C6" w:rsidRDefault="003C25C6" w:rsidP="003C25C6">
      <w:pPr>
        <w:tabs>
          <w:tab w:val="left" w:pos="567"/>
        </w:tabs>
        <w:spacing w:after="0" w:line="240" w:lineRule="auto"/>
        <w:ind w:left="567" w:hanging="567"/>
        <w:jc w:val="center"/>
        <w:rPr>
          <w:rFonts w:ascii="Times New Roman" w:eastAsia="Calibri" w:hAnsi="Times New Roman" w:cs="Times New Roman"/>
          <w:b/>
          <w:sz w:val="26"/>
          <w:szCs w:val="26"/>
        </w:rPr>
      </w:pPr>
    </w:p>
    <w:p w:rsidR="003C25C6" w:rsidRPr="003C25C6" w:rsidRDefault="003C25C6" w:rsidP="003C25C6">
      <w:pPr>
        <w:tabs>
          <w:tab w:val="left" w:pos="567"/>
        </w:tabs>
        <w:spacing w:after="0" w:line="240" w:lineRule="auto"/>
        <w:ind w:left="567" w:hanging="567"/>
        <w:jc w:val="center"/>
        <w:rPr>
          <w:rFonts w:ascii="Times New Roman" w:eastAsia="Calibri" w:hAnsi="Times New Roman" w:cs="Times New Roman"/>
          <w:b/>
          <w:sz w:val="26"/>
          <w:szCs w:val="26"/>
        </w:rPr>
      </w:pPr>
      <w:r w:rsidRPr="003C25C6">
        <w:rPr>
          <w:rFonts w:ascii="Times New Roman" w:eastAsia="Calibri" w:hAnsi="Times New Roman" w:cs="Times New Roman"/>
          <w:b/>
          <w:sz w:val="26"/>
          <w:szCs w:val="26"/>
        </w:rPr>
        <w:t>В части расходов на содержание дирекции Фонда:</w:t>
      </w:r>
    </w:p>
    <w:p w:rsidR="003C25C6" w:rsidRPr="003C25C6" w:rsidRDefault="003C25C6" w:rsidP="003C25C6">
      <w:pPr>
        <w:tabs>
          <w:tab w:val="left" w:pos="567"/>
        </w:tabs>
        <w:spacing w:after="0" w:line="240" w:lineRule="auto"/>
        <w:ind w:left="567" w:hanging="567"/>
        <w:jc w:val="center"/>
        <w:rPr>
          <w:rFonts w:ascii="Times New Roman" w:eastAsia="Calibri" w:hAnsi="Times New Roman" w:cs="Times New Roman"/>
          <w:b/>
          <w:sz w:val="26"/>
          <w:szCs w:val="26"/>
        </w:rPr>
      </w:pPr>
    </w:p>
    <w:p w:rsidR="003C25C6" w:rsidRPr="003C25C6" w:rsidRDefault="003C25C6" w:rsidP="003C25C6">
      <w:pPr>
        <w:tabs>
          <w:tab w:val="left" w:pos="993"/>
        </w:tabs>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 xml:space="preserve">1. </w:t>
      </w:r>
      <w:r w:rsidRPr="003C25C6">
        <w:rPr>
          <w:rFonts w:ascii="Times New Roman" w:eastAsia="Calibri" w:hAnsi="Times New Roman" w:cs="Times New Roman"/>
          <w:b/>
          <w:sz w:val="26"/>
          <w:szCs w:val="26"/>
        </w:rPr>
        <w:t>Незаконные выплаты</w:t>
      </w:r>
      <w:r w:rsidRPr="003C25C6">
        <w:rPr>
          <w:rFonts w:ascii="Times New Roman" w:eastAsia="Calibri" w:hAnsi="Times New Roman" w:cs="Times New Roman"/>
          <w:sz w:val="26"/>
          <w:szCs w:val="26"/>
        </w:rPr>
        <w:t xml:space="preserve"> за счёт средств бюджета Фонда, произведённые с нарушением действующего законодательства, составили 2 010,4 тыс. руб. (с начислениями на выплаты по оплате труда) (2016 год – 677,8 тыс. руб., 2017 год – 615,4 тыс. руб., 2018 год – 717,2 тыс. руб.), в том числе: </w:t>
      </w:r>
    </w:p>
    <w:p w:rsidR="003C25C6" w:rsidRPr="003C25C6" w:rsidRDefault="003C25C6" w:rsidP="003C25C6">
      <w:pPr>
        <w:tabs>
          <w:tab w:val="left" w:pos="993"/>
        </w:tabs>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 xml:space="preserve">- 423,3 тыс. руб. – расходы на выплату ежеквартальных премий водителям «в целях материального поощрения», не предусмотренных п. 4.5.1 положения о порядке, видах, условиях и размерах выплат компенсационного и стимулирующего характера работникам Фонда, что на основании п. 2.3.3 раздела </w:t>
      </w:r>
      <w:r w:rsidRPr="003C25C6">
        <w:rPr>
          <w:rFonts w:ascii="Times New Roman" w:eastAsia="Calibri" w:hAnsi="Times New Roman" w:cs="Times New Roman"/>
          <w:sz w:val="26"/>
          <w:szCs w:val="26"/>
          <w:lang w:val="en-US"/>
        </w:rPr>
        <w:t>II</w:t>
      </w:r>
      <w:r w:rsidRPr="003C25C6">
        <w:rPr>
          <w:rFonts w:ascii="Times New Roman" w:eastAsia="Calibri" w:hAnsi="Times New Roman" w:cs="Times New Roman"/>
          <w:sz w:val="26"/>
          <w:szCs w:val="26"/>
        </w:rPr>
        <w:t xml:space="preserve"> приложения 4 к Закону № 356-ОЗ является незаконным расходованием бюджетных средств;</w:t>
      </w:r>
    </w:p>
    <w:p w:rsidR="003C25C6" w:rsidRPr="003C25C6" w:rsidRDefault="003C25C6" w:rsidP="003C25C6">
      <w:pPr>
        <w:tabs>
          <w:tab w:val="left" w:pos="993"/>
        </w:tabs>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 xml:space="preserve">- 553,2 тыс. руб. – расходы на оплату труда начальника хозяйственного отдела </w:t>
      </w:r>
      <w:proofErr w:type="spellStart"/>
      <w:r w:rsidRPr="003C25C6">
        <w:rPr>
          <w:rFonts w:ascii="Times New Roman" w:eastAsia="Calibri" w:hAnsi="Times New Roman" w:cs="Times New Roman"/>
          <w:sz w:val="26"/>
          <w:szCs w:val="26"/>
        </w:rPr>
        <w:t>Мязина</w:t>
      </w:r>
      <w:proofErr w:type="spellEnd"/>
      <w:r w:rsidRPr="003C25C6">
        <w:rPr>
          <w:rFonts w:ascii="Times New Roman" w:eastAsia="Calibri" w:hAnsi="Times New Roman" w:cs="Times New Roman"/>
          <w:sz w:val="26"/>
          <w:szCs w:val="26"/>
        </w:rPr>
        <w:t xml:space="preserve"> В.В., переведённого на указанную должность в нарушение требований Квалификационного справочника должностей руководителей, специалистов и других служащих (утв. Постановлением Минтруда России от 21.08.1998 № 37) (ред. от 27.03.2018). При этом следует отметить, что должностная инструкция начальника хозяйственного отдела утверждена также с нарушением требований вышеуказанного справочника;</w:t>
      </w:r>
    </w:p>
    <w:p w:rsidR="003C25C6" w:rsidRPr="003C25C6" w:rsidRDefault="003C25C6" w:rsidP="003C25C6">
      <w:pPr>
        <w:tabs>
          <w:tab w:val="left" w:pos="993"/>
        </w:tabs>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- 84,8 тыс. руб. – выплаты материальной помощи сотрудникам Фонда, не предусмотренной положением о порядке, видах, условиях и размерах выплат компенсационного и стимулирующего характера работникам ТФОМС Калужской области, утверждённым приказом директора от 29.05.2013 № 49л/с–к;</w:t>
      </w:r>
    </w:p>
    <w:p w:rsidR="003C25C6" w:rsidRPr="003C25C6" w:rsidRDefault="003C25C6" w:rsidP="003C25C6">
      <w:pPr>
        <w:tabs>
          <w:tab w:val="left" w:pos="993"/>
        </w:tabs>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- 18,7 тыс. руб. – оплата труда директора за работу в выходные дни в нарушение статьи 113 ТК РФ (без письменного распоряжения работодателя);</w:t>
      </w:r>
    </w:p>
    <w:p w:rsidR="003C25C6" w:rsidRPr="003C25C6" w:rsidRDefault="003C25C6" w:rsidP="003C25C6">
      <w:pPr>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- 930,4 тыс. руб. – премии, выплаченные директору Фонда Кузькину Э.Ю. в нарушение Закона № 356-ОЗ и п.2.3.2 Постановления № 468.</w:t>
      </w:r>
    </w:p>
    <w:p w:rsidR="003C25C6" w:rsidRPr="003C25C6" w:rsidRDefault="003C25C6" w:rsidP="003C25C6">
      <w:pPr>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lastRenderedPageBreak/>
        <w:t>3. Общая сумма</w:t>
      </w:r>
      <w:r w:rsidRPr="003C25C6">
        <w:rPr>
          <w:rFonts w:ascii="Times New Roman" w:eastAsia="Calibri" w:hAnsi="Times New Roman" w:cs="Times New Roman"/>
          <w:b/>
          <w:sz w:val="26"/>
          <w:szCs w:val="26"/>
        </w:rPr>
        <w:t xml:space="preserve"> неэффективного расходования средств бюджета Фонда </w:t>
      </w:r>
      <w:r w:rsidRPr="003C25C6">
        <w:rPr>
          <w:rFonts w:ascii="Times New Roman" w:eastAsia="Calibri" w:hAnsi="Times New Roman" w:cs="Times New Roman"/>
          <w:sz w:val="26"/>
          <w:szCs w:val="26"/>
        </w:rPr>
        <w:t xml:space="preserve">составила 712,0 тыс. руб. (2017 год – 226,3 тыс. руб., 2018 год – 413,0 тыс. руб., </w:t>
      </w:r>
      <w:r w:rsidRPr="003C25C6">
        <w:rPr>
          <w:rFonts w:ascii="Times New Roman" w:eastAsia="Calibri" w:hAnsi="Times New Roman" w:cs="Times New Roman"/>
          <w:sz w:val="26"/>
          <w:szCs w:val="26"/>
          <w:lang w:val="en-US"/>
        </w:rPr>
        <w:t>I</w:t>
      </w:r>
      <w:r w:rsidRPr="003C25C6">
        <w:rPr>
          <w:rFonts w:ascii="Times New Roman" w:eastAsia="Calibri" w:hAnsi="Times New Roman" w:cs="Times New Roman"/>
          <w:sz w:val="26"/>
          <w:szCs w:val="26"/>
        </w:rPr>
        <w:t> квартал 2019 года – 72,7 тыс. руб.), в том числе:</w:t>
      </w:r>
    </w:p>
    <w:p w:rsidR="003C25C6" w:rsidRPr="003C25C6" w:rsidRDefault="003C25C6" w:rsidP="003C25C6">
      <w:pPr>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- 149,7 тыс. руб. – выплаты премий за выполнение особо важных заданий, тогда как их выполнение являлось должностными обязанностями сотрудников;</w:t>
      </w:r>
    </w:p>
    <w:p w:rsidR="003C25C6" w:rsidRPr="003C25C6" w:rsidRDefault="003C25C6" w:rsidP="003C25C6">
      <w:pPr>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- 555,0 тыс. руб. – расходы на обслуживание автомобиля, взятого в безвозмездное пользование у директора Фонда Кузькина Э.Ю., при наличии в дирекции 4х служебных автомобилей. При этом условия договора безвозмездного пользования автомобилем от 30.082017 № 8-87/17 противоречат требованиям постановления Правительства Калужской области от 16.02.2016 № 100;</w:t>
      </w:r>
    </w:p>
    <w:p w:rsidR="003C25C6" w:rsidRPr="003C25C6" w:rsidRDefault="003C25C6" w:rsidP="003C25C6">
      <w:pPr>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- 7,3 тыс. руб. – оплата из средств бюджета Фонда пени за неисполнение условий договоров и контрактов.</w:t>
      </w:r>
    </w:p>
    <w:p w:rsidR="003C25C6" w:rsidRPr="003C25C6" w:rsidRDefault="003C25C6" w:rsidP="003C25C6">
      <w:pPr>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 xml:space="preserve">4. </w:t>
      </w:r>
      <w:r w:rsidRPr="003C25C6">
        <w:rPr>
          <w:rFonts w:ascii="Times New Roman" w:eastAsia="Calibri" w:hAnsi="Times New Roman" w:cs="Times New Roman"/>
          <w:b/>
          <w:sz w:val="26"/>
          <w:szCs w:val="26"/>
        </w:rPr>
        <w:t>273,0 тыс. руб.</w:t>
      </w:r>
      <w:r w:rsidRPr="003C25C6">
        <w:rPr>
          <w:rFonts w:ascii="Times New Roman" w:eastAsia="Calibri" w:hAnsi="Times New Roman" w:cs="Times New Roman"/>
          <w:sz w:val="26"/>
          <w:szCs w:val="26"/>
        </w:rPr>
        <w:t xml:space="preserve"> – расходы на восстановление автомобиля «</w:t>
      </w:r>
      <w:r w:rsidRPr="003C25C6">
        <w:rPr>
          <w:rFonts w:ascii="Times New Roman" w:eastAsia="Calibri" w:hAnsi="Times New Roman" w:cs="Times New Roman"/>
          <w:sz w:val="26"/>
          <w:szCs w:val="26"/>
          <w:lang w:val="en-US"/>
        </w:rPr>
        <w:t>Chevrolet</w:t>
      </w:r>
      <w:r w:rsidRPr="003C25C6">
        <w:rPr>
          <w:rFonts w:ascii="Times New Roman" w:eastAsia="Calibri" w:hAnsi="Times New Roman" w:cs="Times New Roman"/>
          <w:sz w:val="26"/>
          <w:szCs w:val="26"/>
        </w:rPr>
        <w:t xml:space="preserve"> </w:t>
      </w:r>
      <w:r w:rsidRPr="003C25C6">
        <w:rPr>
          <w:rFonts w:ascii="Times New Roman" w:eastAsia="Calibri" w:hAnsi="Times New Roman" w:cs="Times New Roman"/>
          <w:sz w:val="26"/>
          <w:szCs w:val="26"/>
          <w:lang w:val="en-US"/>
        </w:rPr>
        <w:t>Orlando</w:t>
      </w:r>
      <w:r w:rsidRPr="003C25C6">
        <w:rPr>
          <w:rFonts w:ascii="Times New Roman" w:eastAsia="Calibri" w:hAnsi="Times New Roman" w:cs="Times New Roman"/>
          <w:sz w:val="26"/>
          <w:szCs w:val="26"/>
        </w:rPr>
        <w:t xml:space="preserve">» после ДТП, виновным в котором решением суда признан водитель Фонда Ермаков Э.С. Материальный ущерб виновным лицом Фонду не возмещён. </w:t>
      </w:r>
      <w:r w:rsidRPr="003C25C6">
        <w:rPr>
          <w:rFonts w:ascii="Times New Roman" w:eastAsia="Times New Roman" w:hAnsi="Times New Roman" w:cs="Times New Roman"/>
          <w:color w:val="000000"/>
          <w:spacing w:val="-4"/>
          <w:sz w:val="26"/>
          <w:szCs w:val="26"/>
          <w:lang w:eastAsia="ru-RU"/>
        </w:rPr>
        <w:t xml:space="preserve">Поскольку работодателем (руководством Фонда) не приняты меры для возмещения ущерба, причинённого имуществу Фонда, и ремонт транспортного средства произведён за счёт средств бюджета Фонда, в действии (бездействии) должностных лиц усматриваются признаки уголовно наказуемых деяний. На основании п. 9 ст. 18 </w:t>
      </w:r>
      <w:r w:rsidRPr="003C25C6">
        <w:rPr>
          <w:rFonts w:ascii="Times New Roman" w:eastAsia="Times New Roman" w:hAnsi="Times New Roman" w:cs="Times New Roman"/>
          <w:sz w:val="26"/>
          <w:szCs w:val="26"/>
          <w:lang w:eastAsia="ru-RU"/>
        </w:rPr>
        <w:t>Закона Калужской области от 28.10.2011 № 193-ОЗ «О Контрольно-счетной палате Калужской области» материалы контрольных мероприятий передаются в правоохранительные органы.</w:t>
      </w:r>
    </w:p>
    <w:p w:rsidR="003C25C6" w:rsidRPr="003C25C6" w:rsidRDefault="003C25C6" w:rsidP="003C25C6">
      <w:pPr>
        <w:spacing w:after="0" w:line="240" w:lineRule="auto"/>
        <w:ind w:firstLine="540"/>
        <w:jc w:val="both"/>
        <w:rPr>
          <w:rFonts w:ascii="Times New Roman" w:eastAsia="Calibri" w:hAnsi="Times New Roman" w:cs="Times New Roman"/>
          <w:b/>
          <w:sz w:val="26"/>
          <w:szCs w:val="26"/>
        </w:rPr>
      </w:pPr>
      <w:r w:rsidRPr="003C25C6">
        <w:rPr>
          <w:rFonts w:ascii="Times New Roman" w:eastAsia="Calibri" w:hAnsi="Times New Roman" w:cs="Times New Roman"/>
          <w:sz w:val="26"/>
          <w:szCs w:val="26"/>
        </w:rPr>
        <w:t>5. В проверяемом периоде имели место случаи несвоевременного утверждения плана закупок и плана-графика. Нарушение требований статей 17 и 21 Федерального закона № 44-ФЗ содержит состав административного правонарушения, предусмотренного частью 1 статьи 7.30 Кодекса Российской Федерации об административных правонарушениях. На момент проверки срок давности привлечения к административной ответственности истёк (1 год со дня совершения административного правонарушения).</w:t>
      </w:r>
    </w:p>
    <w:p w:rsidR="003C25C6" w:rsidRPr="003C25C6" w:rsidRDefault="003C25C6" w:rsidP="003C25C6">
      <w:pPr>
        <w:autoSpaceDE w:val="0"/>
        <w:autoSpaceDN w:val="0"/>
        <w:adjustRightInd w:val="0"/>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Arial"/>
          <w:sz w:val="26"/>
          <w:szCs w:val="26"/>
        </w:rPr>
        <w:t>6. П</w:t>
      </w:r>
      <w:r w:rsidRPr="003C25C6">
        <w:rPr>
          <w:rFonts w:ascii="Times New Roman" w:eastAsia="Calibri" w:hAnsi="Times New Roman" w:cs="Times New Roman"/>
          <w:sz w:val="26"/>
          <w:szCs w:val="26"/>
        </w:rPr>
        <w:t>ри исполнении договоров Фондом в 2016-2018 годах нарушалась статья 309 Гражданского кодекса Российской Федерации и подпункта 2 пункта 1 статьи 94 Закона № 44-ФЗ и условия государственных контрактов в части несоблюдения сроков оплаты поставленного товара, выполненных работ.</w:t>
      </w:r>
    </w:p>
    <w:p w:rsidR="003C25C6" w:rsidRPr="003C25C6" w:rsidRDefault="003C25C6" w:rsidP="003C25C6">
      <w:pPr>
        <w:spacing w:after="0" w:line="240" w:lineRule="auto"/>
        <w:ind w:firstLine="567"/>
        <w:jc w:val="both"/>
        <w:rPr>
          <w:rFonts w:ascii="Times New Roman" w:eastAsia="Calibri" w:hAnsi="Times New Roman" w:cs="Times New Roman"/>
          <w:sz w:val="26"/>
          <w:szCs w:val="26"/>
        </w:rPr>
      </w:pPr>
    </w:p>
    <w:p w:rsidR="003C25C6" w:rsidRPr="003C25C6" w:rsidRDefault="003C25C6" w:rsidP="003C25C6">
      <w:pPr>
        <w:spacing w:after="0" w:line="240" w:lineRule="auto"/>
        <w:ind w:firstLine="567"/>
        <w:jc w:val="center"/>
        <w:rPr>
          <w:rFonts w:ascii="Times New Roman" w:eastAsia="Calibri" w:hAnsi="Times New Roman" w:cs="Times New Roman"/>
          <w:b/>
          <w:sz w:val="26"/>
          <w:szCs w:val="26"/>
        </w:rPr>
      </w:pPr>
      <w:r w:rsidRPr="003C25C6">
        <w:rPr>
          <w:rFonts w:ascii="Times New Roman" w:eastAsia="Calibri" w:hAnsi="Times New Roman" w:cs="Times New Roman"/>
          <w:b/>
          <w:sz w:val="26"/>
          <w:szCs w:val="26"/>
        </w:rPr>
        <w:t>В части нормированного страхового запаса:</w:t>
      </w:r>
    </w:p>
    <w:p w:rsidR="003C25C6" w:rsidRPr="003C25C6" w:rsidRDefault="003C25C6" w:rsidP="003C25C6">
      <w:pPr>
        <w:spacing w:after="0" w:line="240" w:lineRule="auto"/>
        <w:ind w:firstLine="567"/>
        <w:jc w:val="both"/>
        <w:rPr>
          <w:rFonts w:ascii="Times New Roman" w:eastAsia="Calibri" w:hAnsi="Times New Roman" w:cs="Times New Roman"/>
          <w:b/>
          <w:sz w:val="26"/>
          <w:szCs w:val="26"/>
        </w:rPr>
      </w:pPr>
    </w:p>
    <w:p w:rsidR="003C25C6" w:rsidRPr="003C25C6" w:rsidRDefault="003C25C6" w:rsidP="003C25C6">
      <w:pPr>
        <w:tabs>
          <w:tab w:val="left" w:pos="851"/>
        </w:tabs>
        <w:spacing w:after="0" w:line="240" w:lineRule="auto"/>
        <w:ind w:firstLine="567"/>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1.В нарушение п. 3 порядка использования средств нормированного страхового запаса территориального фонда обязательного медицинского страхования, утверждённого Приказом № 227, в 2016 и 2018 годах средства нормированного страхового запаса, направляемые на оплату стоимости медицинской помощи, оказанной медицинскими организациями субъекта Российской Федерации лицам, застрахованным на территории других субъектов Российской Федерации, с последующим восстановлением средств в состав нормированного страхового запаса по мере возмещения затрат другими территориальными фондами, включались в общий объем средств финансового обеспечения территориальной программы обязательного медицинского страхования.</w:t>
      </w:r>
    </w:p>
    <w:p w:rsidR="003C25C6" w:rsidRPr="003C25C6" w:rsidRDefault="003C25C6" w:rsidP="007E0DCD">
      <w:pPr>
        <w:numPr>
          <w:ilvl w:val="0"/>
          <w:numId w:val="1"/>
        </w:numPr>
        <w:spacing w:after="0" w:line="240" w:lineRule="auto"/>
        <w:ind w:left="0" w:firstLine="567"/>
        <w:contextualSpacing/>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В нарушение п. 6 статьи 38 Федерального закона № 326-ФЗ в 2016-</w:t>
      </w:r>
      <w:bookmarkStart w:id="0" w:name="_GoBack"/>
      <w:bookmarkEnd w:id="0"/>
      <w:r w:rsidRPr="003C25C6">
        <w:rPr>
          <w:rFonts w:ascii="Times New Roman" w:eastAsia="Calibri" w:hAnsi="Times New Roman" w:cs="Times New Roman"/>
          <w:sz w:val="26"/>
          <w:szCs w:val="26"/>
        </w:rPr>
        <w:t xml:space="preserve">2018 годах </w:t>
      </w:r>
    </w:p>
    <w:p w:rsidR="003C25C6" w:rsidRPr="003C25C6" w:rsidRDefault="003C25C6" w:rsidP="003C25C6">
      <w:pPr>
        <w:spacing w:after="0" w:line="240" w:lineRule="auto"/>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lastRenderedPageBreak/>
        <w:t>выделение страховым медицинским организациям недостающих для оплаты медицинской помощи средств из нормированного страхового запаса территориального фонда осуществлялось без выяснения причин недостатка целевых средств.</w:t>
      </w:r>
    </w:p>
    <w:p w:rsidR="003C25C6" w:rsidRPr="003C25C6" w:rsidRDefault="003C25C6" w:rsidP="003C25C6">
      <w:pPr>
        <w:spacing w:after="0" w:line="240" w:lineRule="auto"/>
        <w:ind w:firstLine="567"/>
        <w:jc w:val="both"/>
        <w:rPr>
          <w:rFonts w:ascii="Times New Roman" w:eastAsia="Calibri" w:hAnsi="Times New Roman" w:cs="Times New Roman"/>
          <w:bCs/>
          <w:iCs/>
          <w:sz w:val="26"/>
          <w:szCs w:val="26"/>
        </w:rPr>
      </w:pPr>
      <w:r w:rsidRPr="003C25C6">
        <w:rPr>
          <w:rFonts w:ascii="Times New Roman" w:eastAsia="Calibri" w:hAnsi="Times New Roman" w:cs="Times New Roman"/>
          <w:sz w:val="26"/>
          <w:szCs w:val="26"/>
        </w:rPr>
        <w:t>3. В четырёх медицинских организациях установлены факты подачи документов не на финансирование мероприятий, а на восстановление средств уже произведённых кассовых расходов за обучение сотрудников, что противоречит правилам установленным Постановлением № 332. С</w:t>
      </w:r>
      <w:r w:rsidRPr="003C25C6">
        <w:rPr>
          <w:rFonts w:ascii="Times New Roman" w:eastAsia="Calibri" w:hAnsi="Times New Roman" w:cs="Times New Roman"/>
          <w:bCs/>
          <w:iCs/>
          <w:sz w:val="26"/>
          <w:szCs w:val="26"/>
        </w:rPr>
        <w:t>редства НСЗ,</w:t>
      </w:r>
      <w:r w:rsidRPr="003C25C6">
        <w:rPr>
          <w:rFonts w:ascii="Times New Roman" w:eastAsia="Calibri" w:hAnsi="Times New Roman" w:cs="Times New Roman"/>
          <w:sz w:val="26"/>
          <w:szCs w:val="26"/>
        </w:rPr>
        <w:t xml:space="preserve"> направленные в 2017 году на проведение дополнительного профессионального образования медицинских работников по программам повышения квалификации, </w:t>
      </w:r>
      <w:r w:rsidRPr="003C25C6">
        <w:rPr>
          <w:rFonts w:ascii="Times New Roman" w:eastAsia="Calibri" w:hAnsi="Times New Roman" w:cs="Times New Roman"/>
          <w:bCs/>
          <w:iCs/>
          <w:sz w:val="26"/>
          <w:szCs w:val="26"/>
        </w:rPr>
        <w:t xml:space="preserve">в размере </w:t>
      </w:r>
      <w:r w:rsidRPr="003C25C6">
        <w:rPr>
          <w:rFonts w:ascii="Times New Roman" w:eastAsia="Calibri" w:hAnsi="Times New Roman" w:cs="Times New Roman"/>
          <w:b/>
          <w:bCs/>
          <w:iCs/>
          <w:sz w:val="26"/>
          <w:szCs w:val="26"/>
        </w:rPr>
        <w:t>183,5 тыс. руб. являются незаконным использованием медицинскими организациями и подлежат возврату в бюджет Фонда,</w:t>
      </w:r>
      <w:r w:rsidRPr="003C25C6">
        <w:rPr>
          <w:rFonts w:ascii="Times New Roman" w:eastAsia="Calibri" w:hAnsi="Times New Roman" w:cs="Times New Roman"/>
          <w:bCs/>
          <w:iCs/>
          <w:sz w:val="26"/>
          <w:szCs w:val="26"/>
        </w:rPr>
        <w:t xml:space="preserve"> в том числе:</w:t>
      </w:r>
    </w:p>
    <w:p w:rsidR="003C25C6" w:rsidRPr="003C25C6" w:rsidRDefault="003C25C6" w:rsidP="003C25C6">
      <w:pPr>
        <w:spacing w:after="0" w:line="240" w:lineRule="auto"/>
        <w:ind w:firstLine="567"/>
        <w:jc w:val="both"/>
        <w:rPr>
          <w:rFonts w:ascii="Times New Roman" w:eastAsia="Times New Roman" w:hAnsi="Times New Roman" w:cs="Times New Roman"/>
          <w:color w:val="000000"/>
          <w:sz w:val="26"/>
          <w:szCs w:val="26"/>
          <w:lang w:eastAsia="ru-RU"/>
        </w:rPr>
      </w:pPr>
      <w:r w:rsidRPr="003C25C6">
        <w:rPr>
          <w:rFonts w:ascii="Times New Roman" w:eastAsia="Calibri" w:hAnsi="Times New Roman" w:cs="Times New Roman"/>
          <w:bCs/>
          <w:iCs/>
          <w:sz w:val="26"/>
          <w:szCs w:val="26"/>
        </w:rPr>
        <w:t xml:space="preserve">- 160,0 тыс. руб. - </w:t>
      </w:r>
      <w:r w:rsidRPr="003C25C6">
        <w:rPr>
          <w:rFonts w:ascii="Times New Roman" w:eastAsia="Times New Roman" w:hAnsi="Times New Roman" w:cs="Times New Roman"/>
          <w:color w:val="000000"/>
          <w:sz w:val="26"/>
          <w:szCs w:val="26"/>
          <w:lang w:eastAsia="ru-RU"/>
        </w:rPr>
        <w:t>ГБУЗ КО «Калужская областная клиническая больница»;</w:t>
      </w:r>
    </w:p>
    <w:p w:rsidR="003C25C6" w:rsidRPr="003C25C6" w:rsidRDefault="003C25C6" w:rsidP="003C25C6">
      <w:pPr>
        <w:spacing w:after="0" w:line="240" w:lineRule="auto"/>
        <w:ind w:firstLine="567"/>
        <w:jc w:val="both"/>
        <w:rPr>
          <w:rFonts w:ascii="Times New Roman" w:eastAsia="Times New Roman" w:hAnsi="Times New Roman" w:cs="Times New Roman"/>
          <w:color w:val="000000"/>
          <w:sz w:val="26"/>
          <w:szCs w:val="26"/>
          <w:lang w:eastAsia="ru-RU"/>
        </w:rPr>
      </w:pPr>
      <w:r w:rsidRPr="003C25C6">
        <w:rPr>
          <w:rFonts w:ascii="Times New Roman" w:eastAsia="Times New Roman" w:hAnsi="Times New Roman" w:cs="Times New Roman"/>
          <w:color w:val="000000"/>
          <w:sz w:val="26"/>
          <w:szCs w:val="26"/>
          <w:lang w:eastAsia="ru-RU"/>
        </w:rPr>
        <w:t>- 15,5</w:t>
      </w:r>
      <w:r w:rsidRPr="003C25C6">
        <w:rPr>
          <w:rFonts w:ascii="Times New Roman" w:eastAsia="Calibri" w:hAnsi="Times New Roman" w:cs="Times New Roman"/>
          <w:sz w:val="26"/>
          <w:szCs w:val="26"/>
        </w:rPr>
        <w:t xml:space="preserve"> тыс. руб. - </w:t>
      </w:r>
      <w:r w:rsidRPr="003C25C6">
        <w:rPr>
          <w:rFonts w:ascii="Times New Roman" w:eastAsia="Times New Roman" w:hAnsi="Times New Roman" w:cs="Times New Roman"/>
          <w:color w:val="000000"/>
          <w:sz w:val="26"/>
          <w:szCs w:val="26"/>
          <w:lang w:eastAsia="ru-RU"/>
        </w:rPr>
        <w:t>ГБУЗ КО «Детская городская больница»;</w:t>
      </w:r>
    </w:p>
    <w:p w:rsidR="003C25C6" w:rsidRPr="003C25C6" w:rsidRDefault="003C25C6" w:rsidP="003C25C6">
      <w:pPr>
        <w:spacing w:after="0" w:line="240" w:lineRule="auto"/>
        <w:ind w:firstLine="567"/>
        <w:jc w:val="both"/>
        <w:rPr>
          <w:rFonts w:ascii="Times New Roman" w:eastAsia="Times New Roman" w:hAnsi="Times New Roman" w:cs="Times New Roman"/>
          <w:color w:val="000000"/>
          <w:sz w:val="26"/>
          <w:szCs w:val="26"/>
          <w:lang w:eastAsia="ru-RU"/>
        </w:rPr>
      </w:pPr>
      <w:r w:rsidRPr="003C25C6">
        <w:rPr>
          <w:rFonts w:ascii="Times New Roman" w:eastAsia="Times New Roman" w:hAnsi="Times New Roman" w:cs="Times New Roman"/>
          <w:color w:val="000000"/>
          <w:sz w:val="26"/>
          <w:szCs w:val="26"/>
          <w:lang w:eastAsia="ru-RU"/>
        </w:rPr>
        <w:t xml:space="preserve">- 4,9 тыс. руб. – ГБУЗ КО «Калужский областной клинический </w:t>
      </w:r>
      <w:proofErr w:type="spellStart"/>
      <w:r w:rsidRPr="003C25C6">
        <w:rPr>
          <w:rFonts w:ascii="Times New Roman" w:eastAsia="Times New Roman" w:hAnsi="Times New Roman" w:cs="Times New Roman"/>
          <w:color w:val="000000"/>
          <w:sz w:val="26"/>
          <w:szCs w:val="26"/>
          <w:lang w:eastAsia="ru-RU"/>
        </w:rPr>
        <w:t>онкодиспансер</w:t>
      </w:r>
      <w:proofErr w:type="spellEnd"/>
      <w:r w:rsidRPr="003C25C6">
        <w:rPr>
          <w:rFonts w:ascii="Times New Roman" w:eastAsia="Times New Roman" w:hAnsi="Times New Roman" w:cs="Times New Roman"/>
          <w:color w:val="000000"/>
          <w:sz w:val="26"/>
          <w:szCs w:val="26"/>
          <w:lang w:eastAsia="ru-RU"/>
        </w:rPr>
        <w:t>»;</w:t>
      </w:r>
    </w:p>
    <w:p w:rsidR="003C25C6" w:rsidRPr="003C25C6" w:rsidRDefault="003C25C6" w:rsidP="003C25C6">
      <w:pPr>
        <w:spacing w:after="0" w:line="240" w:lineRule="auto"/>
        <w:ind w:firstLine="567"/>
        <w:jc w:val="both"/>
        <w:rPr>
          <w:rFonts w:ascii="Times New Roman" w:eastAsia="Times New Roman" w:hAnsi="Times New Roman" w:cs="Times New Roman"/>
          <w:color w:val="000000"/>
          <w:sz w:val="26"/>
          <w:szCs w:val="26"/>
          <w:lang w:eastAsia="ru-RU"/>
        </w:rPr>
      </w:pPr>
      <w:r w:rsidRPr="003C25C6">
        <w:rPr>
          <w:rFonts w:ascii="Times New Roman" w:eastAsia="Times New Roman" w:hAnsi="Times New Roman" w:cs="Times New Roman"/>
          <w:color w:val="000000"/>
          <w:sz w:val="26"/>
          <w:szCs w:val="26"/>
          <w:lang w:eastAsia="ru-RU"/>
        </w:rPr>
        <w:t xml:space="preserve">- </w:t>
      </w:r>
      <w:r w:rsidRPr="003C25C6">
        <w:rPr>
          <w:rFonts w:ascii="Times New Roman" w:eastAsia="Calibri" w:hAnsi="Times New Roman" w:cs="Times New Roman"/>
          <w:sz w:val="26"/>
          <w:szCs w:val="26"/>
        </w:rPr>
        <w:t xml:space="preserve">3,1 тыс. руб. - </w:t>
      </w:r>
      <w:r w:rsidRPr="003C25C6">
        <w:rPr>
          <w:rFonts w:ascii="Times New Roman" w:eastAsia="Times New Roman" w:hAnsi="Times New Roman" w:cs="Times New Roman"/>
          <w:color w:val="000000"/>
          <w:sz w:val="26"/>
          <w:szCs w:val="26"/>
          <w:lang w:eastAsia="ru-RU"/>
        </w:rPr>
        <w:t xml:space="preserve">ГБУЗ КО «ЦРБ </w:t>
      </w:r>
      <w:proofErr w:type="spellStart"/>
      <w:r w:rsidRPr="003C25C6">
        <w:rPr>
          <w:rFonts w:ascii="Times New Roman" w:eastAsia="Times New Roman" w:hAnsi="Times New Roman" w:cs="Times New Roman"/>
          <w:color w:val="000000"/>
          <w:sz w:val="26"/>
          <w:szCs w:val="26"/>
          <w:lang w:eastAsia="ru-RU"/>
        </w:rPr>
        <w:t>Малоярославецкого</w:t>
      </w:r>
      <w:proofErr w:type="spellEnd"/>
      <w:r w:rsidRPr="003C25C6">
        <w:rPr>
          <w:rFonts w:ascii="Times New Roman" w:eastAsia="Times New Roman" w:hAnsi="Times New Roman" w:cs="Times New Roman"/>
          <w:color w:val="000000"/>
          <w:sz w:val="26"/>
          <w:szCs w:val="26"/>
          <w:lang w:eastAsia="ru-RU"/>
        </w:rPr>
        <w:t xml:space="preserve"> района».</w:t>
      </w:r>
    </w:p>
    <w:p w:rsidR="003C25C6" w:rsidRPr="003C25C6" w:rsidRDefault="003C25C6" w:rsidP="003C25C6">
      <w:pPr>
        <w:spacing w:after="0" w:line="240" w:lineRule="auto"/>
        <w:ind w:firstLine="567"/>
        <w:jc w:val="both"/>
        <w:rPr>
          <w:rFonts w:ascii="Times New Roman" w:eastAsia="Calibri" w:hAnsi="Times New Roman" w:cs="Times New Roman"/>
          <w:bCs/>
          <w:iCs/>
          <w:sz w:val="26"/>
          <w:szCs w:val="26"/>
        </w:rPr>
      </w:pPr>
    </w:p>
    <w:p w:rsidR="003C25C6" w:rsidRPr="003C25C6" w:rsidRDefault="003C25C6" w:rsidP="003C25C6">
      <w:pPr>
        <w:tabs>
          <w:tab w:val="left" w:pos="851"/>
        </w:tabs>
        <w:spacing w:after="0" w:line="240" w:lineRule="auto"/>
        <w:ind w:left="567"/>
        <w:jc w:val="center"/>
        <w:rPr>
          <w:rFonts w:ascii="Times New Roman" w:eastAsia="Calibri" w:hAnsi="Times New Roman" w:cs="Times New Roman"/>
          <w:b/>
          <w:sz w:val="26"/>
          <w:szCs w:val="26"/>
        </w:rPr>
      </w:pPr>
      <w:r w:rsidRPr="003C25C6">
        <w:rPr>
          <w:rFonts w:ascii="Times New Roman" w:eastAsia="Calibri" w:hAnsi="Times New Roman" w:cs="Times New Roman"/>
          <w:b/>
          <w:sz w:val="26"/>
          <w:szCs w:val="26"/>
        </w:rPr>
        <w:t>В части анализа тарифов ОМС:</w:t>
      </w:r>
    </w:p>
    <w:p w:rsidR="003C25C6" w:rsidRPr="003C25C6" w:rsidRDefault="003C25C6" w:rsidP="003C25C6">
      <w:pPr>
        <w:tabs>
          <w:tab w:val="left" w:pos="851"/>
        </w:tabs>
        <w:spacing w:after="0" w:line="240" w:lineRule="auto"/>
        <w:ind w:left="567"/>
        <w:jc w:val="center"/>
        <w:rPr>
          <w:rFonts w:ascii="Times New Roman" w:eastAsia="Calibri" w:hAnsi="Times New Roman" w:cs="Times New Roman"/>
          <w:b/>
          <w:sz w:val="26"/>
          <w:szCs w:val="26"/>
        </w:rPr>
      </w:pPr>
    </w:p>
    <w:p w:rsidR="003C25C6" w:rsidRPr="003C25C6" w:rsidRDefault="003C25C6" w:rsidP="00071608">
      <w:pPr>
        <w:numPr>
          <w:ilvl w:val="0"/>
          <w:numId w:val="2"/>
        </w:numPr>
        <w:tabs>
          <w:tab w:val="left" w:pos="993"/>
        </w:tabs>
        <w:spacing w:after="0" w:line="240" w:lineRule="auto"/>
        <w:ind w:left="0" w:firstLine="567"/>
        <w:contextualSpacing/>
        <w:jc w:val="both"/>
        <w:rPr>
          <w:rFonts w:ascii="Times New Roman" w:eastAsia="Calibri" w:hAnsi="Times New Roman" w:cs="Times New Roman"/>
          <w:b/>
          <w:sz w:val="26"/>
          <w:szCs w:val="26"/>
        </w:rPr>
      </w:pPr>
      <w:r w:rsidRPr="003C25C6">
        <w:rPr>
          <w:rFonts w:ascii="Times New Roman" w:eastAsia="Calibri" w:hAnsi="Times New Roman" w:cs="Times New Roman"/>
          <w:sz w:val="26"/>
          <w:szCs w:val="26"/>
        </w:rPr>
        <w:t xml:space="preserve">Выборочной проверкой установлено нарушение части 4.1. раздела </w:t>
      </w:r>
      <w:r w:rsidRPr="003C25C6">
        <w:rPr>
          <w:rFonts w:ascii="Times New Roman" w:eastAsia="Calibri" w:hAnsi="Times New Roman" w:cs="Times New Roman"/>
          <w:sz w:val="26"/>
          <w:szCs w:val="26"/>
          <w:lang w:val="en-US"/>
        </w:rPr>
        <w:t>I</w:t>
      </w:r>
      <w:r w:rsidRPr="003C25C6">
        <w:rPr>
          <w:rFonts w:ascii="Times New Roman" w:eastAsia="Calibri" w:hAnsi="Times New Roman" w:cs="Times New Roman"/>
          <w:sz w:val="26"/>
          <w:szCs w:val="26"/>
        </w:rPr>
        <w:t xml:space="preserve"> Методических рекомендаций по способам оплаты медицинской помощи за счёт средств ОМС, направленных в субъекты Российской Федерации письмом от 21.11.2017 Министерства здравоохранения Российской Федерации № 11-7/10/2-8080 и Федерального фонда № 13572/26-2/и в части установления базовой ставки в 2017-2018 годах, что повлекло за собой </w:t>
      </w:r>
      <w:r w:rsidRPr="003C25C6">
        <w:rPr>
          <w:rFonts w:ascii="Times New Roman" w:eastAsia="Times New Roman" w:hAnsi="Times New Roman" w:cs="Times New Roman"/>
          <w:b/>
          <w:color w:val="000000"/>
          <w:sz w:val="26"/>
          <w:szCs w:val="26"/>
          <w:lang w:eastAsia="ru-RU"/>
        </w:rPr>
        <w:t>необоснованное отвлечение средств в 2018 году в размере 23 484,7 тыс. руб.</w:t>
      </w:r>
    </w:p>
    <w:p w:rsidR="003C25C6" w:rsidRPr="003C25C6" w:rsidRDefault="003C25C6" w:rsidP="003C25C6">
      <w:pPr>
        <w:tabs>
          <w:tab w:val="left" w:pos="567"/>
          <w:tab w:val="left" w:pos="851"/>
        </w:tabs>
        <w:spacing w:after="0" w:line="240" w:lineRule="auto"/>
        <w:jc w:val="both"/>
        <w:rPr>
          <w:rFonts w:ascii="Times New Roman" w:eastAsia="Calibri" w:hAnsi="Times New Roman" w:cs="Times New Roman"/>
          <w:b/>
          <w:i/>
          <w:sz w:val="26"/>
          <w:szCs w:val="26"/>
        </w:rPr>
      </w:pPr>
      <w:r w:rsidRPr="003C25C6">
        <w:rPr>
          <w:rFonts w:ascii="Times New Roman" w:eastAsia="Calibri" w:hAnsi="Times New Roman" w:cs="Times New Roman"/>
          <w:sz w:val="26"/>
          <w:szCs w:val="26"/>
        </w:rPr>
        <w:tab/>
        <w:t xml:space="preserve">Планирование объёмов помощи по КСГ с высоким коэффициентом </w:t>
      </w:r>
      <w:proofErr w:type="spellStart"/>
      <w:r w:rsidRPr="003C25C6">
        <w:rPr>
          <w:rFonts w:ascii="Times New Roman" w:eastAsia="Calibri" w:hAnsi="Times New Roman" w:cs="Times New Roman"/>
          <w:sz w:val="26"/>
          <w:szCs w:val="26"/>
        </w:rPr>
        <w:t>затратоёмкости</w:t>
      </w:r>
      <w:proofErr w:type="spellEnd"/>
      <w:r w:rsidRPr="003C25C6">
        <w:rPr>
          <w:rFonts w:ascii="Times New Roman" w:eastAsia="Calibri" w:hAnsi="Times New Roman" w:cs="Times New Roman"/>
          <w:sz w:val="26"/>
          <w:szCs w:val="26"/>
        </w:rPr>
        <w:t xml:space="preserve">, которые фактически не выполняются по ряду причин: нет пациентов с предполагаемым заболеванием, у МО отсутствуют ресурсные возможности по оказанию запланированной помощи и т.д., приводит к необоснованному отвлечению средств из системы ОМС. Указанные средства отвлечены, «зарезервированы», в виде планового объема финансовых средств </w:t>
      </w:r>
      <w:r w:rsidRPr="003C25C6">
        <w:rPr>
          <w:rFonts w:ascii="Times New Roman" w:eastAsia="Calibri" w:hAnsi="Times New Roman" w:cs="Times New Roman"/>
          <w:b/>
          <w:i/>
          <w:sz w:val="26"/>
          <w:szCs w:val="26"/>
        </w:rPr>
        <w:t>для конкретных МО</w:t>
      </w:r>
      <w:r w:rsidRPr="003C25C6">
        <w:rPr>
          <w:rFonts w:ascii="Times New Roman" w:eastAsia="Calibri" w:hAnsi="Times New Roman" w:cs="Times New Roman"/>
          <w:sz w:val="26"/>
          <w:szCs w:val="26"/>
        </w:rPr>
        <w:t xml:space="preserve">, которым запланированы, но не выполняются объемы по КСГ с высоким коэффициентом </w:t>
      </w:r>
      <w:proofErr w:type="spellStart"/>
      <w:r w:rsidRPr="003C25C6">
        <w:rPr>
          <w:rFonts w:ascii="Times New Roman" w:eastAsia="Calibri" w:hAnsi="Times New Roman" w:cs="Times New Roman"/>
          <w:sz w:val="26"/>
          <w:szCs w:val="26"/>
        </w:rPr>
        <w:t>затратоёмкости</w:t>
      </w:r>
      <w:proofErr w:type="spellEnd"/>
      <w:r w:rsidRPr="003C25C6">
        <w:rPr>
          <w:rFonts w:ascii="Times New Roman" w:eastAsia="Calibri" w:hAnsi="Times New Roman" w:cs="Times New Roman"/>
          <w:sz w:val="26"/>
          <w:szCs w:val="26"/>
        </w:rPr>
        <w:t xml:space="preserve">. </w:t>
      </w:r>
      <w:r w:rsidRPr="003C25C6">
        <w:rPr>
          <w:rFonts w:ascii="Times New Roman" w:eastAsia="Calibri" w:hAnsi="Times New Roman" w:cs="Times New Roman"/>
          <w:b/>
          <w:i/>
          <w:sz w:val="26"/>
          <w:szCs w:val="26"/>
        </w:rPr>
        <w:t>Стоимость единицы объёма – случая госпитализации – занижается. Указанные «зарезервированные» средства должны распределиться на все МО путём пересчёта базовой ставки по КСГ в результате корректировки (не чаще одного раза в квартал) объёмов в разрезе КСГ с учётом фактической потребности пациентов, возможностей МО и других объективных причин.</w:t>
      </w:r>
    </w:p>
    <w:p w:rsidR="003C25C6" w:rsidRDefault="003C25C6" w:rsidP="00071608">
      <w:pPr>
        <w:numPr>
          <w:ilvl w:val="0"/>
          <w:numId w:val="2"/>
        </w:numPr>
        <w:tabs>
          <w:tab w:val="left" w:pos="567"/>
          <w:tab w:val="left" w:pos="851"/>
          <w:tab w:val="left" w:pos="1701"/>
        </w:tabs>
        <w:spacing w:after="0" w:line="240" w:lineRule="auto"/>
        <w:ind w:left="0" w:firstLine="567"/>
        <w:contextualSpacing/>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В ходе контрольного мероприятия были установлены случаи сохранения (увеличения) доходов отдельных (индивидуально) МО за счёт средств ОМС путём увеличения коэффициентов подуровней при уменьшении объёмов помощи, которая фактически не может быть выполнена. При этом обоснования таких решений в ходе проверки представлены не были, поскольку цель такого рода решений – сохранить доход МО (не уменьшая его из-за фактически оказываемой менее затратной помощи).</w:t>
      </w:r>
    </w:p>
    <w:p w:rsidR="00071608" w:rsidRPr="003C25C6" w:rsidRDefault="00071608" w:rsidP="00071608">
      <w:pPr>
        <w:numPr>
          <w:ilvl w:val="0"/>
          <w:numId w:val="2"/>
        </w:numPr>
        <w:tabs>
          <w:tab w:val="left" w:pos="567"/>
          <w:tab w:val="left" w:pos="851"/>
          <w:tab w:val="left" w:pos="1701"/>
        </w:tabs>
        <w:spacing w:after="0" w:line="240" w:lineRule="auto"/>
        <w:ind w:left="0" w:firstLine="567"/>
        <w:contextualSpacing/>
        <w:jc w:val="both"/>
        <w:rPr>
          <w:rFonts w:ascii="Times New Roman" w:eastAsia="Calibri" w:hAnsi="Times New Roman" w:cs="Times New Roman"/>
          <w:sz w:val="26"/>
          <w:szCs w:val="26"/>
        </w:rPr>
      </w:pPr>
    </w:p>
    <w:p w:rsidR="003C25C6" w:rsidRPr="003C25C6" w:rsidRDefault="003C25C6" w:rsidP="00071608">
      <w:pPr>
        <w:tabs>
          <w:tab w:val="left" w:pos="567"/>
          <w:tab w:val="left" w:pos="851"/>
          <w:tab w:val="left" w:pos="1701"/>
        </w:tabs>
        <w:spacing w:after="0" w:line="240" w:lineRule="auto"/>
        <w:ind w:firstLine="567"/>
        <w:jc w:val="both"/>
        <w:rPr>
          <w:rFonts w:ascii="Times New Roman" w:eastAsia="Calibri" w:hAnsi="Times New Roman" w:cs="Times New Roman"/>
          <w:sz w:val="26"/>
          <w:szCs w:val="26"/>
        </w:rPr>
      </w:pPr>
    </w:p>
    <w:p w:rsidR="003C25C6" w:rsidRPr="003C25C6" w:rsidRDefault="003C25C6" w:rsidP="003C25C6">
      <w:pPr>
        <w:spacing w:after="0" w:line="240" w:lineRule="auto"/>
        <w:ind w:firstLine="567"/>
        <w:jc w:val="center"/>
        <w:rPr>
          <w:rFonts w:ascii="Times New Roman" w:eastAsia="Calibri" w:hAnsi="Times New Roman" w:cs="Times New Roman"/>
          <w:b/>
          <w:bCs/>
          <w:iCs/>
          <w:sz w:val="26"/>
          <w:szCs w:val="26"/>
        </w:rPr>
      </w:pPr>
      <w:r w:rsidRPr="003C25C6">
        <w:rPr>
          <w:rFonts w:ascii="Times New Roman" w:eastAsia="Calibri" w:hAnsi="Times New Roman" w:cs="Times New Roman"/>
          <w:b/>
          <w:bCs/>
          <w:iCs/>
          <w:sz w:val="26"/>
          <w:szCs w:val="26"/>
        </w:rPr>
        <w:lastRenderedPageBreak/>
        <w:t xml:space="preserve">Проверка информации, изложенной в письме ГАУЗ КО </w:t>
      </w:r>
    </w:p>
    <w:p w:rsidR="003C25C6" w:rsidRPr="003C25C6" w:rsidRDefault="003C25C6" w:rsidP="003C25C6">
      <w:pPr>
        <w:spacing w:after="0" w:line="240" w:lineRule="auto"/>
        <w:ind w:firstLine="567"/>
        <w:jc w:val="center"/>
        <w:rPr>
          <w:rFonts w:ascii="Times New Roman" w:eastAsia="Calibri" w:hAnsi="Times New Roman" w:cs="Times New Roman"/>
          <w:b/>
          <w:bCs/>
          <w:iCs/>
          <w:sz w:val="26"/>
          <w:szCs w:val="26"/>
        </w:rPr>
      </w:pPr>
      <w:r w:rsidRPr="003C25C6">
        <w:rPr>
          <w:rFonts w:ascii="Times New Roman" w:eastAsia="Calibri" w:hAnsi="Times New Roman" w:cs="Times New Roman"/>
          <w:b/>
          <w:bCs/>
          <w:iCs/>
          <w:sz w:val="26"/>
          <w:szCs w:val="26"/>
        </w:rPr>
        <w:t xml:space="preserve">«Калужская областная стоматологическая поликлиника» </w:t>
      </w:r>
    </w:p>
    <w:p w:rsidR="003C25C6" w:rsidRPr="003C25C6" w:rsidRDefault="003C25C6" w:rsidP="003C25C6">
      <w:pPr>
        <w:spacing w:after="0" w:line="240" w:lineRule="auto"/>
        <w:ind w:firstLine="567"/>
        <w:jc w:val="center"/>
        <w:rPr>
          <w:rFonts w:ascii="Times New Roman" w:eastAsia="Calibri" w:hAnsi="Times New Roman" w:cs="Times New Roman"/>
          <w:b/>
          <w:bCs/>
          <w:iCs/>
          <w:sz w:val="26"/>
          <w:szCs w:val="26"/>
        </w:rPr>
      </w:pPr>
      <w:r w:rsidRPr="003C25C6">
        <w:rPr>
          <w:rFonts w:ascii="Times New Roman" w:eastAsia="Calibri" w:hAnsi="Times New Roman" w:cs="Times New Roman"/>
          <w:b/>
          <w:bCs/>
          <w:iCs/>
          <w:sz w:val="26"/>
          <w:szCs w:val="26"/>
        </w:rPr>
        <w:t>от 25.02.2019 № 116.</w:t>
      </w:r>
    </w:p>
    <w:p w:rsidR="003C25C6" w:rsidRPr="003C25C6" w:rsidRDefault="003C25C6" w:rsidP="003C25C6">
      <w:pPr>
        <w:tabs>
          <w:tab w:val="left" w:pos="567"/>
          <w:tab w:val="left" w:pos="851"/>
        </w:tabs>
        <w:spacing w:after="0" w:line="240" w:lineRule="auto"/>
        <w:jc w:val="center"/>
        <w:rPr>
          <w:rFonts w:ascii="Times New Roman" w:eastAsia="Calibri" w:hAnsi="Times New Roman" w:cs="Times New Roman"/>
          <w:sz w:val="26"/>
          <w:szCs w:val="26"/>
        </w:rPr>
      </w:pPr>
    </w:p>
    <w:p w:rsidR="003C25C6" w:rsidRPr="003C25C6" w:rsidRDefault="003C25C6" w:rsidP="003C25C6">
      <w:pPr>
        <w:tabs>
          <w:tab w:val="left" w:pos="567"/>
          <w:tab w:val="left" w:pos="993"/>
        </w:tabs>
        <w:spacing w:after="0" w:line="240" w:lineRule="auto"/>
        <w:jc w:val="both"/>
        <w:rPr>
          <w:rFonts w:ascii="Times New Roman" w:eastAsia="Calibri" w:hAnsi="Times New Roman" w:cs="Times New Roman"/>
          <w:sz w:val="26"/>
          <w:szCs w:val="26"/>
        </w:rPr>
      </w:pPr>
      <w:r w:rsidRPr="003C25C6">
        <w:rPr>
          <w:rFonts w:ascii="Times New Roman" w:eastAsia="Calibri" w:hAnsi="Times New Roman" w:cs="Times New Roman"/>
          <w:sz w:val="26"/>
          <w:szCs w:val="26"/>
        </w:rPr>
        <w:tab/>
        <w:t>Расчёты с ГАУЗ КО «Калужская областная стоматологическая поликлиника» за выполненные объёмы стоматологической помощи осуществляются с нарушением требований приказа ФФОМС от 16.08.2011 № 146 «Об утверждении форм отчётности», Тарифного соглашения от 16.01.2019, а также письма Минздрава России от 21.12.2018 № 11-7/10/1-511 «О формировании и экономическом обосновании , письма территориальной программы государственных гарантий бесплатного оказания гражданам медицинской помощи на 2019 год и на плановый период 2020 и 2021 годов» и других НПА.</w:t>
      </w:r>
    </w:p>
    <w:p w:rsidR="003C25C6" w:rsidRPr="003C25C6" w:rsidRDefault="003C25C6" w:rsidP="003C25C6">
      <w:pPr>
        <w:tabs>
          <w:tab w:val="left" w:pos="567"/>
        </w:tabs>
        <w:spacing w:after="0" w:line="240" w:lineRule="auto"/>
        <w:ind w:firstLine="567"/>
        <w:jc w:val="both"/>
        <w:rPr>
          <w:rFonts w:ascii="Times New Roman" w:eastAsia="Calibri" w:hAnsi="Times New Roman" w:cs="Times New Roman"/>
          <w:sz w:val="26"/>
          <w:szCs w:val="26"/>
        </w:rPr>
      </w:pPr>
      <w:proofErr w:type="gramStart"/>
      <w:r w:rsidRPr="003C25C6">
        <w:rPr>
          <w:rFonts w:ascii="Times New Roman" w:eastAsia="Calibri" w:hAnsi="Times New Roman" w:cs="Times New Roman"/>
          <w:sz w:val="26"/>
          <w:szCs w:val="26"/>
        </w:rPr>
        <w:t>Кроме того</w:t>
      </w:r>
      <w:proofErr w:type="gramEnd"/>
      <w:r w:rsidRPr="003C25C6">
        <w:rPr>
          <w:rFonts w:ascii="Times New Roman" w:eastAsia="Calibri" w:hAnsi="Times New Roman" w:cs="Times New Roman"/>
          <w:sz w:val="26"/>
          <w:szCs w:val="26"/>
        </w:rPr>
        <w:t xml:space="preserve"> установлено, что при объективном росте расходов ГАУЗ КО «Калужская областная стоматологическая поликлиника» плановый объём медпомощи не обеспечен финансово в должном объёме.</w:t>
      </w:r>
    </w:p>
    <w:p w:rsidR="003C25C6" w:rsidRPr="003C25C6" w:rsidRDefault="00071608" w:rsidP="003C25C6">
      <w:pPr>
        <w:tabs>
          <w:tab w:val="left" w:pos="851"/>
        </w:tabs>
        <w:spacing w:after="0" w:line="240" w:lineRule="auto"/>
        <w:contextualSpacing/>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В соответствии с решением Коллегии (протокол от 18.06.2019 № 16) Фонду направлено представление с предложениями по восстановлению в бюджет средств, израсходованных незаконно, и устранению выявленных недостатков</w:t>
      </w:r>
    </w:p>
    <w:sectPr w:rsidR="003C25C6" w:rsidRPr="003C2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C2F98"/>
    <w:multiLevelType w:val="hybridMultilevel"/>
    <w:tmpl w:val="78C0C354"/>
    <w:lvl w:ilvl="0" w:tplc="55727A7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71A687E"/>
    <w:multiLevelType w:val="hybridMultilevel"/>
    <w:tmpl w:val="8A14A646"/>
    <w:lvl w:ilvl="0" w:tplc="C3D09EAA">
      <w:start w:val="1"/>
      <w:numFmt w:val="decimal"/>
      <w:lvlText w:val="%1."/>
      <w:lvlJc w:val="left"/>
      <w:pPr>
        <w:ind w:left="1350" w:hanging="360"/>
      </w:pPr>
      <w:rPr>
        <w:rFonts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54F508B4"/>
    <w:multiLevelType w:val="hybridMultilevel"/>
    <w:tmpl w:val="454CE94E"/>
    <w:lvl w:ilvl="0" w:tplc="5B02EEFE">
      <w:start w:val="1"/>
      <w:numFmt w:val="decimal"/>
      <w:lvlText w:val="%1."/>
      <w:lvlJc w:val="left"/>
      <w:pPr>
        <w:tabs>
          <w:tab w:val="num" w:pos="1070"/>
        </w:tabs>
        <w:ind w:left="1070" w:hanging="360"/>
      </w:pPr>
      <w:rPr>
        <w:b w:val="0"/>
      </w:rPr>
    </w:lvl>
    <w:lvl w:ilvl="1" w:tplc="04190001">
      <w:start w:val="1"/>
      <w:numFmt w:val="bullet"/>
      <w:lvlText w:val=""/>
      <w:lvlJc w:val="left"/>
      <w:pPr>
        <w:tabs>
          <w:tab w:val="num" w:pos="890"/>
        </w:tabs>
        <w:ind w:left="890" w:hanging="360"/>
      </w:pPr>
      <w:rPr>
        <w:rFonts w:ascii="Symbol" w:hAnsi="Symbol" w:hint="default"/>
        <w:b w:val="0"/>
      </w:r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AA"/>
    <w:rsid w:val="00071608"/>
    <w:rsid w:val="003C25C6"/>
    <w:rsid w:val="00504FD7"/>
    <w:rsid w:val="007E0DCD"/>
    <w:rsid w:val="0087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4D26E-A522-4CE6-8C81-5C2811A7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2019-06-21T11:44:00Z</dcterms:created>
  <dcterms:modified xsi:type="dcterms:W3CDTF">2019-06-21T12:01:00Z</dcterms:modified>
</cp:coreProperties>
</file>