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556129" w:rsidP="00BD62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14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6F24FE">
        <w:rPr>
          <w:sz w:val="26"/>
          <w:szCs w:val="26"/>
        </w:rPr>
        <w:t>февраля</w:t>
      </w:r>
      <w:proofErr w:type="gramEnd"/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6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Зезюлин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Жемаркина</w:t>
            </w:r>
            <w:proofErr w:type="spellEnd"/>
            <w:r>
              <w:rPr>
                <w:sz w:val="26"/>
                <w:szCs w:val="26"/>
              </w:rPr>
              <w:t xml:space="preserve">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6E702B" w:rsidRPr="0063407A">
        <w:rPr>
          <w:sz w:val="26"/>
          <w:szCs w:val="26"/>
        </w:rPr>
        <w:t>О результатах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«Калужская школа для обучающихся с ограниченными возможностями здоровья «Гармония» в 2018-2019 годах.</w:t>
      </w:r>
    </w:p>
    <w:p w:rsidR="00FD332D" w:rsidRDefault="002F0EFB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75384B" w:rsidRPr="00982B71">
        <w:rPr>
          <w:sz w:val="26"/>
          <w:szCs w:val="26"/>
        </w:rPr>
        <w:t>О результатах контрольного мероприятия «Проверка использования бюджетных средств, выделенных в 2017-2018 годах на развитие агропромышленного комплекса в муниципальном районе «</w:t>
      </w:r>
      <w:proofErr w:type="spellStart"/>
      <w:r w:rsidR="0075384B" w:rsidRPr="00982B71">
        <w:rPr>
          <w:sz w:val="26"/>
          <w:szCs w:val="26"/>
        </w:rPr>
        <w:t>Малоярославецкий</w:t>
      </w:r>
      <w:proofErr w:type="spellEnd"/>
      <w:r w:rsidR="0075384B" w:rsidRPr="00982B71">
        <w:rPr>
          <w:sz w:val="26"/>
          <w:szCs w:val="26"/>
        </w:rPr>
        <w:t xml:space="preserve"> район».</w:t>
      </w:r>
    </w:p>
    <w:p w:rsidR="00454451" w:rsidRDefault="00454451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04884" w:rsidRPr="00504884">
        <w:rPr>
          <w:sz w:val="26"/>
          <w:szCs w:val="26"/>
        </w:rPr>
        <w:t xml:space="preserve"> </w:t>
      </w:r>
      <w:r w:rsidR="00205ED3" w:rsidRPr="00982B71">
        <w:rPr>
          <w:sz w:val="26"/>
          <w:szCs w:val="26"/>
        </w:rPr>
        <w:t xml:space="preserve">О результатах контрольного мероприятия «Проверка выполнения представлений Контрольно-счётной палаты от 01.02.2018 № 03-006 и от 25.02.2019 № 03-008, направленных в адрес Главы поселковой Управы ГП «Посёлок Полотняный Завод» по результатам контрольного мероприятия «Контроль результатов реализации за 2015-2016 годы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«Энергосбережение и повышение </w:t>
      </w:r>
      <w:proofErr w:type="spellStart"/>
      <w:r w:rsidR="00205ED3" w:rsidRPr="00982B71">
        <w:rPr>
          <w:sz w:val="26"/>
          <w:szCs w:val="26"/>
        </w:rPr>
        <w:t>энергоэффективности</w:t>
      </w:r>
      <w:proofErr w:type="spellEnd"/>
      <w:r w:rsidR="00205ED3" w:rsidRPr="00982B71">
        <w:rPr>
          <w:sz w:val="26"/>
          <w:szCs w:val="26"/>
        </w:rPr>
        <w:t xml:space="preserve"> в Калужской области».</w:t>
      </w:r>
    </w:p>
    <w:p w:rsidR="00DC2260" w:rsidRDefault="00DC2260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77A91" w:rsidRPr="00777A91">
        <w:rPr>
          <w:sz w:val="25"/>
          <w:szCs w:val="25"/>
        </w:rPr>
        <w:t xml:space="preserve"> </w:t>
      </w:r>
      <w:r w:rsidR="00246A5A" w:rsidRPr="00F87583">
        <w:rPr>
          <w:sz w:val="26"/>
          <w:szCs w:val="26"/>
        </w:rPr>
        <w:t>О результатах совместного контрольного мероприятия «Проверка отдельных вопросов планируемой передачи в областную собственность отдельных объектов водопроводно-канализационного комплекса, находящихся в собственности муниципального образования МР «Город Киров и Кировский район».</w:t>
      </w:r>
    </w:p>
    <w:p w:rsidR="0091739A" w:rsidRDefault="00DC2260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2891">
        <w:rPr>
          <w:sz w:val="26"/>
          <w:szCs w:val="26"/>
        </w:rPr>
        <w:t xml:space="preserve">. </w:t>
      </w:r>
      <w:r w:rsidR="001A62F7" w:rsidRPr="00CD4F09">
        <w:rPr>
          <w:sz w:val="26"/>
          <w:szCs w:val="26"/>
        </w:rPr>
        <w:t>Об исполнении представления</w:t>
      </w:r>
      <w:r w:rsidR="001A62F7" w:rsidRPr="00CD4F09">
        <w:rPr>
          <w:bCs/>
          <w:sz w:val="26"/>
          <w:szCs w:val="26"/>
        </w:rPr>
        <w:t xml:space="preserve"> Контрольно-счетной палаты Калужской области</w:t>
      </w:r>
      <w:r w:rsidR="001A62F7" w:rsidRPr="00CD4F09">
        <w:rPr>
          <w:sz w:val="26"/>
          <w:szCs w:val="26"/>
        </w:rPr>
        <w:t xml:space="preserve"> от 15.11.2019 № 03-072, направленного в адрес администрации муниципального района «</w:t>
      </w:r>
      <w:proofErr w:type="spellStart"/>
      <w:r w:rsidR="001A62F7" w:rsidRPr="00CD4F09">
        <w:rPr>
          <w:sz w:val="26"/>
          <w:szCs w:val="26"/>
        </w:rPr>
        <w:t>Хвастовичский</w:t>
      </w:r>
      <w:proofErr w:type="spellEnd"/>
      <w:r w:rsidR="001A62F7" w:rsidRPr="00CD4F09">
        <w:rPr>
          <w:sz w:val="26"/>
          <w:szCs w:val="26"/>
        </w:rPr>
        <w:t xml:space="preserve">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</w:t>
      </w:r>
      <w:r w:rsidR="001A62F7" w:rsidRPr="00CD4F09">
        <w:rPr>
          <w:sz w:val="26"/>
          <w:szCs w:val="26"/>
        </w:rPr>
        <w:lastRenderedPageBreak/>
        <w:t>областного бюджета в 2017-2018 годах бюджету муниципального района «</w:t>
      </w:r>
      <w:proofErr w:type="spellStart"/>
      <w:r w:rsidR="001A62F7" w:rsidRPr="00CD4F09">
        <w:rPr>
          <w:sz w:val="26"/>
          <w:szCs w:val="26"/>
        </w:rPr>
        <w:t>Хвастовичский</w:t>
      </w:r>
      <w:proofErr w:type="spellEnd"/>
      <w:r w:rsidR="001A62F7" w:rsidRPr="00CD4F09">
        <w:rPr>
          <w:sz w:val="26"/>
          <w:szCs w:val="26"/>
        </w:rPr>
        <w:t xml:space="preserve"> район».</w:t>
      </w:r>
    </w:p>
    <w:p w:rsidR="007E31D6" w:rsidRDefault="007E31D6" w:rsidP="00A73A5D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6. </w:t>
      </w:r>
      <w:r w:rsidRPr="00F14AB2">
        <w:rPr>
          <w:sz w:val="25"/>
          <w:szCs w:val="25"/>
        </w:rPr>
        <w:t xml:space="preserve">Об исполнении представлений от 20.05.2019 № 02-029, от 20.05.2019 № 02-030, от 20.05.2019 № 02-031, направленных в адрес государственного бюджетного учреждения здравоохранения Калужской области «Центральная районная больница </w:t>
      </w:r>
      <w:proofErr w:type="spellStart"/>
      <w:r w:rsidRPr="00F14AB2">
        <w:rPr>
          <w:sz w:val="25"/>
          <w:szCs w:val="25"/>
        </w:rPr>
        <w:t>Бабынинского</w:t>
      </w:r>
      <w:proofErr w:type="spellEnd"/>
      <w:r w:rsidRPr="00F14AB2">
        <w:rPr>
          <w:sz w:val="25"/>
          <w:szCs w:val="25"/>
        </w:rPr>
        <w:t xml:space="preserve"> района», Территориального фонда обязательного медицинского страхования Калужской области, министерства здравоохранения Калужской области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2016-2017 годах государственным бюджетным учреждением здравоохранения Калужской области «Центральная районная больница </w:t>
      </w:r>
      <w:proofErr w:type="spellStart"/>
      <w:r w:rsidRPr="00F14AB2">
        <w:rPr>
          <w:sz w:val="25"/>
          <w:szCs w:val="25"/>
        </w:rPr>
        <w:t>Бабынинского</w:t>
      </w:r>
      <w:proofErr w:type="spellEnd"/>
      <w:r w:rsidRPr="00F14AB2">
        <w:rPr>
          <w:sz w:val="25"/>
          <w:szCs w:val="25"/>
        </w:rPr>
        <w:t xml:space="preserve"> района».</w:t>
      </w:r>
    </w:p>
    <w:p w:rsidR="00ED1E67" w:rsidRDefault="00ED1E67" w:rsidP="00A73A5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Pr="00ED1E67">
        <w:rPr>
          <w:sz w:val="25"/>
          <w:szCs w:val="25"/>
        </w:rPr>
        <w:t xml:space="preserve"> </w:t>
      </w:r>
      <w:r w:rsidRPr="002952E8">
        <w:rPr>
          <w:sz w:val="25"/>
          <w:szCs w:val="25"/>
        </w:rPr>
        <w:t>Об исполнении представлений от 08.11.2019 № 02-069, от 08.11.2019 № 02-070, от 08.11.2019 № 02-071, направленных в адрес государственного казенного учреждения Калужской области «</w:t>
      </w:r>
      <w:proofErr w:type="spellStart"/>
      <w:r w:rsidRPr="002952E8">
        <w:rPr>
          <w:sz w:val="25"/>
          <w:szCs w:val="25"/>
        </w:rPr>
        <w:t>Калугадорзаказчик</w:t>
      </w:r>
      <w:proofErr w:type="spellEnd"/>
      <w:r w:rsidRPr="002952E8">
        <w:rPr>
          <w:sz w:val="25"/>
          <w:szCs w:val="25"/>
        </w:rPr>
        <w:t>», министерства дорожного хозяйства Калужской области, государственного казенного учреждения Калужской области «Центр безопасности дорожного движения» по результатам контрольного мероприятия «Контроль результатов реализации подпрограммы «Повышение безопасности дорожного движения в Калужской области» государственной программы Калужской области «Развитие дорожного хозяйства Калужской области» за 2017-2018 годы».</w:t>
      </w:r>
    </w:p>
    <w:p w:rsidR="00ED1E67" w:rsidRDefault="00ED1E67" w:rsidP="00A73A5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8.</w:t>
      </w:r>
      <w:r w:rsidR="00C548D4" w:rsidRPr="00C548D4">
        <w:rPr>
          <w:sz w:val="26"/>
          <w:szCs w:val="26"/>
        </w:rPr>
        <w:t xml:space="preserve"> </w:t>
      </w:r>
      <w:r w:rsidR="00C548D4" w:rsidRPr="002D1BAE">
        <w:rPr>
          <w:sz w:val="26"/>
          <w:szCs w:val="26"/>
        </w:rPr>
        <w:t>О внесении изменений в Положение об официальном Интернет-сайте Контрольно-счётной палаты Калужской области.</w:t>
      </w:r>
    </w:p>
    <w:p w:rsidR="00ED1E67" w:rsidRDefault="00ED1E67" w:rsidP="00A73A5D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9. Организационные вопросы.</w:t>
      </w:r>
    </w:p>
    <w:p w:rsidR="00A55B4E" w:rsidRPr="00D10D91" w:rsidRDefault="00A55B4E" w:rsidP="00247B00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6E702B">
        <w:rPr>
          <w:sz w:val="26"/>
          <w:szCs w:val="26"/>
        </w:rPr>
        <w:t>аудитора Александровой Л.И.</w:t>
      </w:r>
    </w:p>
    <w:p w:rsidR="00711748" w:rsidRPr="00212153" w:rsidRDefault="00FD332D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B42C6">
        <w:rPr>
          <w:sz w:val="26"/>
          <w:szCs w:val="26"/>
        </w:rPr>
        <w:t>Баскакова Н.М</w:t>
      </w:r>
      <w:r>
        <w:rPr>
          <w:sz w:val="26"/>
          <w:szCs w:val="26"/>
        </w:rPr>
        <w:t xml:space="preserve">., </w:t>
      </w:r>
      <w:proofErr w:type="spellStart"/>
      <w:r w:rsidR="00977C92">
        <w:rPr>
          <w:sz w:val="26"/>
          <w:szCs w:val="26"/>
        </w:rPr>
        <w:t>Зезюлин</w:t>
      </w:r>
      <w:proofErr w:type="spellEnd"/>
      <w:r w:rsidR="00977C92">
        <w:rPr>
          <w:sz w:val="26"/>
          <w:szCs w:val="26"/>
        </w:rPr>
        <w:t xml:space="preserve">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6E702B" w:rsidRPr="00457A68" w:rsidRDefault="006E702B" w:rsidP="006E702B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Александровой Л.И.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457A68">
        <w:rPr>
          <w:sz w:val="26"/>
          <w:szCs w:val="26"/>
        </w:rPr>
        <w:t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«Калужская школа для обучающихся с ограниченными возможностями здоровья «Гармония» в 2018-2019 годах»</w:t>
      </w:r>
      <w:r>
        <w:rPr>
          <w:sz w:val="26"/>
          <w:szCs w:val="26"/>
        </w:rPr>
        <w:t>.</w:t>
      </w:r>
    </w:p>
    <w:p w:rsidR="006E702B" w:rsidRPr="00A85C2A" w:rsidRDefault="006E702B" w:rsidP="006E70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Александровой Л.И.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 ГКОУ КО</w:t>
      </w:r>
      <w:r w:rsidRPr="00457A68">
        <w:rPr>
          <w:sz w:val="26"/>
          <w:szCs w:val="26"/>
        </w:rPr>
        <w:t xml:space="preserve"> «Калужская школа для обучающихся с ограниченными возможностями здоровья «Гармония»</w:t>
      </w:r>
      <w:r w:rsidRPr="00A85C2A">
        <w:rPr>
          <w:sz w:val="26"/>
          <w:szCs w:val="26"/>
        </w:rPr>
        <w:t>,</w:t>
      </w:r>
      <w:r>
        <w:rPr>
          <w:sz w:val="26"/>
          <w:szCs w:val="26"/>
        </w:rPr>
        <w:t xml:space="preserve"> министерства образования и науки Калужской области</w:t>
      </w:r>
      <w:r>
        <w:rPr>
          <w:b/>
          <w:sz w:val="26"/>
          <w:szCs w:val="26"/>
        </w:rPr>
        <w:t xml:space="preserve"> </w:t>
      </w:r>
      <w:r w:rsidRPr="002913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я Палаты и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их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срок.</w:t>
      </w:r>
      <w:r w:rsidRPr="002913A8">
        <w:rPr>
          <w:iCs/>
          <w:sz w:val="26"/>
          <w:szCs w:val="26"/>
        </w:rPr>
        <w:t xml:space="preserve"> </w:t>
      </w:r>
    </w:p>
    <w:p w:rsidR="003918A9" w:rsidRDefault="006E702B" w:rsidP="006E702B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>. Контроль за исполнением настоящего решения коллегии возложить на заместителя председателя Палаты Волошину А.В.</w:t>
      </w:r>
    </w:p>
    <w:p w:rsidR="00FB42C6" w:rsidRPr="003918A9" w:rsidRDefault="00FB42C6" w:rsidP="00FB42C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D65EAD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D45099">
        <w:rPr>
          <w:sz w:val="26"/>
          <w:szCs w:val="26"/>
        </w:rPr>
        <w:t xml:space="preserve">аудитора </w:t>
      </w:r>
      <w:r w:rsidR="0075384B">
        <w:rPr>
          <w:sz w:val="26"/>
          <w:szCs w:val="26"/>
        </w:rPr>
        <w:t>Симакова В.М.</w:t>
      </w: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D45099">
        <w:rPr>
          <w:sz w:val="26"/>
          <w:szCs w:val="26"/>
        </w:rPr>
        <w:t>Никифоров В.А</w:t>
      </w:r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Зезюлин</w:t>
      </w:r>
      <w:proofErr w:type="spellEnd"/>
      <w:r>
        <w:rPr>
          <w:sz w:val="26"/>
          <w:szCs w:val="26"/>
        </w:rPr>
        <w:t xml:space="preserve"> В.Н.</w:t>
      </w:r>
    </w:p>
    <w:p w:rsidR="003918A9" w:rsidRPr="00212153" w:rsidRDefault="003918A9" w:rsidP="003918A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75384B" w:rsidRPr="007F2F23" w:rsidRDefault="0075384B" w:rsidP="0075384B">
      <w:pPr>
        <w:ind w:firstLine="567"/>
        <w:jc w:val="both"/>
        <w:rPr>
          <w:sz w:val="26"/>
          <w:szCs w:val="26"/>
        </w:rPr>
      </w:pPr>
      <w:r w:rsidRPr="007F2F23">
        <w:rPr>
          <w:sz w:val="26"/>
          <w:szCs w:val="26"/>
        </w:rPr>
        <w:t>1. Рекомендовать к утверждению отчёт аудитора Симакова В.М. о результатах контрольного мероприятия «</w:t>
      </w:r>
      <w:r w:rsidRPr="009B73F0">
        <w:rPr>
          <w:sz w:val="26"/>
          <w:szCs w:val="26"/>
        </w:rPr>
        <w:t>Проверка использования бюджетных средств, выделенных в 2017-2018 годах на развитие агропромышленного комплекса в муниципальном районе «</w:t>
      </w:r>
      <w:proofErr w:type="spellStart"/>
      <w:r w:rsidRPr="009B73F0">
        <w:rPr>
          <w:sz w:val="26"/>
          <w:szCs w:val="26"/>
        </w:rPr>
        <w:t>Малоярославецкий</w:t>
      </w:r>
      <w:proofErr w:type="spellEnd"/>
      <w:r w:rsidRPr="009B73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».</w:t>
      </w:r>
    </w:p>
    <w:p w:rsidR="0075384B" w:rsidRPr="009B73F0" w:rsidRDefault="0075384B" w:rsidP="0075384B">
      <w:pPr>
        <w:ind w:firstLine="567"/>
        <w:jc w:val="both"/>
        <w:rPr>
          <w:sz w:val="26"/>
          <w:szCs w:val="26"/>
        </w:rPr>
      </w:pPr>
      <w:r w:rsidRPr="009B73F0">
        <w:rPr>
          <w:sz w:val="26"/>
          <w:szCs w:val="26"/>
        </w:rPr>
        <w:lastRenderedPageBreak/>
        <w:t>2. Аудитору Симакову В.М. в течение пяти рабочих дней направить представления в адрес министерства сельского хозяйства Калужской области, ООО «Агрофирма «Ярославец», ОАО «</w:t>
      </w:r>
      <w:proofErr w:type="spellStart"/>
      <w:r w:rsidRPr="009B73F0">
        <w:rPr>
          <w:sz w:val="26"/>
          <w:szCs w:val="26"/>
        </w:rPr>
        <w:t>Племзавод</w:t>
      </w:r>
      <w:proofErr w:type="spellEnd"/>
      <w:r w:rsidRPr="009B73F0">
        <w:rPr>
          <w:sz w:val="26"/>
          <w:szCs w:val="26"/>
        </w:rPr>
        <w:t xml:space="preserve"> им. Цветкова» и ООО «Ферма Рябцево».</w:t>
      </w:r>
    </w:p>
    <w:p w:rsidR="003918A9" w:rsidRDefault="0075384B" w:rsidP="0075384B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402BA">
        <w:rPr>
          <w:sz w:val="26"/>
          <w:szCs w:val="26"/>
        </w:rPr>
        <w:t>. Контроль за исполнением настоящего</w:t>
      </w:r>
      <w:r>
        <w:rPr>
          <w:sz w:val="26"/>
          <w:szCs w:val="26"/>
        </w:rPr>
        <w:t xml:space="preserve"> решения Коллегии </w:t>
      </w:r>
      <w:r w:rsidRPr="00A742BC">
        <w:rPr>
          <w:sz w:val="26"/>
          <w:szCs w:val="26"/>
        </w:rPr>
        <w:t>возложить</w:t>
      </w:r>
      <w:r w:rsidRPr="00A742BC">
        <w:t xml:space="preserve"> </w:t>
      </w:r>
      <w:r>
        <w:rPr>
          <w:sz w:val="26"/>
          <w:szCs w:val="26"/>
        </w:rPr>
        <w:t>на заместителя председателя Палаты А.В. Волошину.</w:t>
      </w:r>
    </w:p>
    <w:p w:rsidR="0075384B" w:rsidRDefault="0075384B" w:rsidP="0075384B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504884" w:rsidRPr="00212153" w:rsidRDefault="00504884" w:rsidP="00504884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205ED3">
        <w:rPr>
          <w:sz w:val="26"/>
          <w:szCs w:val="26"/>
        </w:rPr>
        <w:t>аудитора Симакова В.М.</w:t>
      </w:r>
    </w:p>
    <w:p w:rsidR="00504884" w:rsidRPr="00212153" w:rsidRDefault="00504884" w:rsidP="00504884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Никифоров В.А., </w:t>
      </w:r>
      <w:r w:rsidR="00DC2260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504884" w:rsidRPr="00212153" w:rsidRDefault="00504884" w:rsidP="0050488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05ED3" w:rsidRPr="00DF1750" w:rsidRDefault="00205ED3" w:rsidP="00205ED3">
      <w:pPr>
        <w:ind w:firstLine="567"/>
        <w:jc w:val="both"/>
        <w:rPr>
          <w:sz w:val="26"/>
          <w:szCs w:val="26"/>
        </w:rPr>
      </w:pPr>
      <w:r w:rsidRPr="00DF1750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«Проверка выполнения представлений Контрольно-счётной палаты от 01.02.2018 № 03-006 и от 25.02.2019 № 03-008, направленных в адрес Главы поселковой Управы ГП «Посёлок Полотняный Завод» по результатам контрольного мероприятия «Контроль результатов реализации за 2015-2016 годы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«Энергосбережение и повышение </w:t>
      </w:r>
      <w:proofErr w:type="spellStart"/>
      <w:r w:rsidRPr="00DF1750">
        <w:rPr>
          <w:sz w:val="26"/>
          <w:szCs w:val="26"/>
        </w:rPr>
        <w:t>энергоэффективности</w:t>
      </w:r>
      <w:proofErr w:type="spellEnd"/>
      <w:r w:rsidRPr="00DF1750">
        <w:rPr>
          <w:sz w:val="26"/>
          <w:szCs w:val="26"/>
        </w:rPr>
        <w:t xml:space="preserve"> в Калужской области.</w:t>
      </w:r>
    </w:p>
    <w:p w:rsidR="00205ED3" w:rsidRPr="00DF1750" w:rsidRDefault="00205ED3" w:rsidP="00205ED3">
      <w:pPr>
        <w:ind w:firstLine="567"/>
        <w:jc w:val="both"/>
        <w:rPr>
          <w:sz w:val="26"/>
          <w:szCs w:val="26"/>
        </w:rPr>
      </w:pPr>
      <w:r w:rsidRPr="00DF1750">
        <w:rPr>
          <w:sz w:val="26"/>
          <w:szCs w:val="26"/>
        </w:rPr>
        <w:t>2. Аудитору Симакову В.М. в течение пяти рабочих дней направить представления в адрес поселковой Управы городского поселения «Поселок Полотняный Завод».</w:t>
      </w:r>
    </w:p>
    <w:p w:rsidR="00504884" w:rsidRDefault="00205ED3" w:rsidP="00205ED3">
      <w:pPr>
        <w:ind w:firstLine="567"/>
        <w:jc w:val="both"/>
        <w:rPr>
          <w:sz w:val="26"/>
          <w:szCs w:val="26"/>
        </w:rPr>
      </w:pPr>
      <w:r w:rsidRPr="00DF1750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А.В. Волошину.</w:t>
      </w:r>
    </w:p>
    <w:p w:rsidR="00205ED3" w:rsidRDefault="00205ED3" w:rsidP="00205ED3">
      <w:pPr>
        <w:ind w:firstLine="567"/>
        <w:jc w:val="both"/>
        <w:rPr>
          <w:sz w:val="26"/>
          <w:szCs w:val="26"/>
        </w:rPr>
      </w:pPr>
    </w:p>
    <w:p w:rsidR="00777A91" w:rsidRPr="00212153" w:rsidRDefault="00777A91" w:rsidP="00777A91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E74D72">
        <w:rPr>
          <w:sz w:val="26"/>
          <w:szCs w:val="26"/>
        </w:rPr>
        <w:t>Баскаковой Н.М.</w:t>
      </w:r>
    </w:p>
    <w:p w:rsidR="00777A91" w:rsidRPr="00212153" w:rsidRDefault="00777A91" w:rsidP="00777A9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Волошина А.В., </w:t>
      </w:r>
      <w:proofErr w:type="spellStart"/>
      <w:r w:rsidR="00E74D72">
        <w:rPr>
          <w:sz w:val="26"/>
          <w:szCs w:val="26"/>
        </w:rPr>
        <w:t>Зезюлин</w:t>
      </w:r>
      <w:proofErr w:type="spellEnd"/>
      <w:r w:rsidR="00E74D72">
        <w:rPr>
          <w:sz w:val="26"/>
          <w:szCs w:val="26"/>
        </w:rPr>
        <w:t xml:space="preserve"> В.Н.</w:t>
      </w:r>
    </w:p>
    <w:p w:rsidR="00777A91" w:rsidRPr="00212153" w:rsidRDefault="00777A91" w:rsidP="00777A91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74D72" w:rsidRPr="00E74D72" w:rsidRDefault="00E74D72" w:rsidP="00E74D72">
      <w:pPr>
        <w:ind w:firstLine="567"/>
        <w:jc w:val="both"/>
        <w:rPr>
          <w:sz w:val="26"/>
          <w:szCs w:val="26"/>
        </w:rPr>
      </w:pPr>
      <w:r w:rsidRPr="00E74D72">
        <w:rPr>
          <w:sz w:val="26"/>
          <w:szCs w:val="26"/>
        </w:rPr>
        <w:t xml:space="preserve">1. Рекомендовать к утверждению отчёт аудитора Баскаковой Н.М. о результатах </w:t>
      </w:r>
      <w:r w:rsidRPr="00E74D72">
        <w:rPr>
          <w:bCs/>
          <w:sz w:val="26"/>
          <w:szCs w:val="26"/>
        </w:rPr>
        <w:t xml:space="preserve">проведения совместного </w:t>
      </w:r>
      <w:r w:rsidRPr="00E74D72">
        <w:rPr>
          <w:sz w:val="26"/>
          <w:szCs w:val="26"/>
        </w:rPr>
        <w:t>контрольного мероприятия «Проверка отдельных вопросов планируемой передачи в областную собственность отдельных объектов водопроводно-канализационного комплекса, находящихся в собственности муниципального образования МР «Город Киров и Кировский район».</w:t>
      </w:r>
    </w:p>
    <w:p w:rsidR="00E74D72" w:rsidRPr="00E74D72" w:rsidRDefault="00E74D72" w:rsidP="00E74D72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E74D72">
        <w:rPr>
          <w:sz w:val="26"/>
          <w:szCs w:val="26"/>
        </w:rPr>
        <w:t>2. Аудитору Баскаковой Н.М. подготовить представление</w:t>
      </w:r>
      <w:r w:rsidRPr="00E74D72">
        <w:rPr>
          <w:bCs/>
          <w:sz w:val="26"/>
          <w:szCs w:val="26"/>
        </w:rPr>
        <w:t xml:space="preserve"> </w:t>
      </w:r>
      <w:r w:rsidRPr="00E74D72">
        <w:rPr>
          <w:sz w:val="26"/>
          <w:szCs w:val="26"/>
        </w:rPr>
        <w:t>администрации муниципального района «Город Киров и Кировский район», обеспечив контроль за его выполнением.</w:t>
      </w:r>
    </w:p>
    <w:p w:rsidR="00E74D72" w:rsidRPr="00E74D72" w:rsidRDefault="00E74D72" w:rsidP="00E74D72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E74D72">
        <w:rPr>
          <w:sz w:val="26"/>
          <w:szCs w:val="26"/>
        </w:rPr>
        <w:t xml:space="preserve">3. Аудитору Баскаковой Н.М. подготовить информацию об итогах проверки для первого заместителя Губернатора Калужской области </w:t>
      </w:r>
      <w:proofErr w:type="spellStart"/>
      <w:r w:rsidRPr="00E74D72">
        <w:rPr>
          <w:sz w:val="26"/>
          <w:szCs w:val="26"/>
        </w:rPr>
        <w:t>Мазура</w:t>
      </w:r>
      <w:proofErr w:type="spellEnd"/>
      <w:r w:rsidRPr="00E74D72">
        <w:rPr>
          <w:sz w:val="26"/>
          <w:szCs w:val="26"/>
        </w:rPr>
        <w:t xml:space="preserve"> В.В.</w:t>
      </w:r>
    </w:p>
    <w:p w:rsidR="00504884" w:rsidRDefault="00E74D72" w:rsidP="00E74D72">
      <w:pPr>
        <w:ind w:firstLine="567"/>
        <w:jc w:val="both"/>
        <w:rPr>
          <w:sz w:val="26"/>
          <w:szCs w:val="26"/>
        </w:rPr>
      </w:pPr>
      <w:r w:rsidRPr="00E74D72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Волошину А.В.</w:t>
      </w:r>
    </w:p>
    <w:p w:rsidR="00777A91" w:rsidRDefault="00777A91" w:rsidP="00777A91">
      <w:pPr>
        <w:ind w:firstLine="567"/>
        <w:jc w:val="both"/>
        <w:rPr>
          <w:sz w:val="26"/>
          <w:szCs w:val="26"/>
        </w:rPr>
      </w:pPr>
    </w:p>
    <w:p w:rsidR="001A62F7" w:rsidRPr="00212153" w:rsidRDefault="00EC7688" w:rsidP="001A62F7">
      <w:pPr>
        <w:ind w:firstLine="567"/>
        <w:jc w:val="both"/>
        <w:rPr>
          <w:sz w:val="26"/>
          <w:szCs w:val="26"/>
        </w:rPr>
      </w:pPr>
      <w:r w:rsidRPr="00EC7688">
        <w:rPr>
          <w:b/>
          <w:sz w:val="26"/>
          <w:szCs w:val="26"/>
          <w:lang w:val="en-US"/>
        </w:rPr>
        <w:t>V</w:t>
      </w:r>
      <w:r w:rsidRPr="00EC7688">
        <w:rPr>
          <w:b/>
          <w:sz w:val="26"/>
          <w:szCs w:val="26"/>
        </w:rPr>
        <w:t>.</w:t>
      </w:r>
      <w:r w:rsidRPr="00EC7688">
        <w:rPr>
          <w:sz w:val="26"/>
          <w:szCs w:val="26"/>
        </w:rPr>
        <w:t xml:space="preserve"> </w:t>
      </w:r>
      <w:r w:rsidR="001A62F7" w:rsidRPr="00212153">
        <w:rPr>
          <w:sz w:val="26"/>
          <w:szCs w:val="26"/>
        </w:rPr>
        <w:t xml:space="preserve">Заслушали информацию </w:t>
      </w:r>
      <w:r w:rsidR="001A62F7">
        <w:rPr>
          <w:sz w:val="26"/>
          <w:szCs w:val="26"/>
        </w:rPr>
        <w:t>аудитора Симакова В.М.</w:t>
      </w:r>
    </w:p>
    <w:p w:rsidR="001A62F7" w:rsidRPr="00212153" w:rsidRDefault="001A62F7" w:rsidP="001A62F7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proofErr w:type="spellStart"/>
      <w:r>
        <w:rPr>
          <w:sz w:val="26"/>
          <w:szCs w:val="26"/>
        </w:rPr>
        <w:t>Зезюлин</w:t>
      </w:r>
      <w:proofErr w:type="spellEnd"/>
      <w:r>
        <w:rPr>
          <w:sz w:val="26"/>
          <w:szCs w:val="26"/>
        </w:rPr>
        <w:t xml:space="preserve"> В.Н., Баскакова Н.М.</w:t>
      </w:r>
    </w:p>
    <w:p w:rsidR="001A62F7" w:rsidRPr="00212153" w:rsidRDefault="001A62F7" w:rsidP="001A62F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A62F7" w:rsidRPr="0045041E" w:rsidRDefault="001A62F7" w:rsidP="001A62F7">
      <w:pPr>
        <w:ind w:firstLine="567"/>
        <w:jc w:val="both"/>
        <w:rPr>
          <w:sz w:val="26"/>
          <w:szCs w:val="26"/>
        </w:rPr>
      </w:pPr>
      <w:r w:rsidRPr="000F2432">
        <w:rPr>
          <w:sz w:val="26"/>
          <w:szCs w:val="26"/>
        </w:rPr>
        <w:t>1.  Рекомендовать снять с контроля представления Палаты от</w:t>
      </w:r>
      <w:r>
        <w:rPr>
          <w:sz w:val="26"/>
          <w:szCs w:val="26"/>
        </w:rPr>
        <w:t xml:space="preserve"> 15.11.2019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</w:t>
      </w:r>
      <w:r w:rsidRPr="009C5AD9">
        <w:rPr>
          <w:bCs/>
          <w:sz w:val="26"/>
          <w:szCs w:val="26"/>
        </w:rPr>
        <w:t>-0</w:t>
      </w:r>
      <w:r>
        <w:rPr>
          <w:bCs/>
          <w:sz w:val="26"/>
          <w:szCs w:val="26"/>
        </w:rPr>
        <w:t>72</w:t>
      </w:r>
      <w:r w:rsidRPr="0045041E">
        <w:rPr>
          <w:bCs/>
          <w:sz w:val="26"/>
          <w:szCs w:val="26"/>
        </w:rPr>
        <w:t>.</w:t>
      </w:r>
    </w:p>
    <w:p w:rsidR="00EC7688" w:rsidRDefault="001A62F7" w:rsidP="001A62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заместителя председателя Палаты Волошину А.В.</w:t>
      </w:r>
    </w:p>
    <w:p w:rsidR="00EC7688" w:rsidRDefault="00EC7688" w:rsidP="00777A91">
      <w:pPr>
        <w:ind w:firstLine="567"/>
        <w:jc w:val="both"/>
        <w:rPr>
          <w:sz w:val="26"/>
          <w:szCs w:val="26"/>
        </w:rPr>
      </w:pPr>
    </w:p>
    <w:p w:rsidR="007E31D6" w:rsidRPr="00212153" w:rsidRDefault="007E31D6" w:rsidP="007E31D6">
      <w:pPr>
        <w:ind w:firstLine="567"/>
        <w:jc w:val="both"/>
        <w:rPr>
          <w:sz w:val="26"/>
          <w:szCs w:val="26"/>
        </w:rPr>
      </w:pPr>
      <w:r w:rsidRPr="00EC7688"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  <w:lang w:val="en-US"/>
        </w:rPr>
        <w:t>I</w:t>
      </w:r>
      <w:r w:rsidRPr="00EC7688">
        <w:rPr>
          <w:b/>
          <w:sz w:val="26"/>
          <w:szCs w:val="26"/>
        </w:rPr>
        <w:t>.</w:t>
      </w:r>
      <w:r w:rsidRPr="00EC7688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</w:p>
    <w:p w:rsidR="007E31D6" w:rsidRPr="00212153" w:rsidRDefault="007E31D6" w:rsidP="007E31D6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Волошина А.В., Александрова Л.И.</w:t>
      </w:r>
    </w:p>
    <w:p w:rsidR="007E31D6" w:rsidRPr="00212153" w:rsidRDefault="007E31D6" w:rsidP="007E31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7E31D6" w:rsidRPr="00725E6E" w:rsidRDefault="007E31D6" w:rsidP="007E31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F8260A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F8260A">
        <w:rPr>
          <w:sz w:val="26"/>
          <w:szCs w:val="26"/>
        </w:rPr>
        <w:t xml:space="preserve"> Палаты</w:t>
      </w:r>
      <w:r w:rsidRPr="006403DB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4D3968">
        <w:rPr>
          <w:sz w:val="25"/>
          <w:szCs w:val="25"/>
        </w:rPr>
        <w:t>от 20.05.2019 № 02-029, от 20.05.2019 № 02-030, от 20.05.2019 № 02-031,</w:t>
      </w:r>
      <w:r w:rsidRPr="00BD79CA">
        <w:rPr>
          <w:sz w:val="25"/>
          <w:szCs w:val="25"/>
        </w:rPr>
        <w:t xml:space="preserve"> направленные в адрес государственного бюджетного учреждения здравоохранения Калужской области «Центральная районная больница </w:t>
      </w:r>
      <w:proofErr w:type="spellStart"/>
      <w:r w:rsidRPr="00BD79CA">
        <w:rPr>
          <w:sz w:val="25"/>
          <w:szCs w:val="25"/>
        </w:rPr>
        <w:t>Бабынинского</w:t>
      </w:r>
      <w:proofErr w:type="spellEnd"/>
      <w:r w:rsidRPr="00BD79CA">
        <w:rPr>
          <w:sz w:val="25"/>
          <w:szCs w:val="25"/>
        </w:rPr>
        <w:t xml:space="preserve"> района», Территориального фонда обязательного медицинского страхования Калужской области, министерства здравоохранения Калужской области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2016-2017 годах государственным бюджетным учреждением здравоохранения Калужской области «Центральная районная больница </w:t>
      </w:r>
      <w:proofErr w:type="spellStart"/>
      <w:r w:rsidRPr="00BD79CA">
        <w:rPr>
          <w:sz w:val="25"/>
          <w:szCs w:val="25"/>
        </w:rPr>
        <w:t>Бабынинского</w:t>
      </w:r>
      <w:proofErr w:type="spellEnd"/>
      <w:r w:rsidRPr="00BD79CA">
        <w:rPr>
          <w:sz w:val="25"/>
          <w:szCs w:val="25"/>
        </w:rPr>
        <w:t xml:space="preserve"> района»</w:t>
      </w:r>
      <w:r>
        <w:rPr>
          <w:sz w:val="25"/>
          <w:szCs w:val="25"/>
        </w:rPr>
        <w:t xml:space="preserve">, </w:t>
      </w:r>
      <w:r>
        <w:rPr>
          <w:rFonts w:eastAsia="Calibri"/>
          <w:sz w:val="26"/>
          <w:szCs w:val="26"/>
        </w:rPr>
        <w:t>которые исполнены в полном объёме.</w:t>
      </w:r>
    </w:p>
    <w:p w:rsidR="00EC7688" w:rsidRDefault="007E31D6" w:rsidP="007E31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7E31D6" w:rsidRPr="00EC7688" w:rsidRDefault="007E31D6" w:rsidP="007E31D6">
      <w:pPr>
        <w:ind w:firstLine="567"/>
        <w:jc w:val="both"/>
        <w:rPr>
          <w:sz w:val="26"/>
          <w:szCs w:val="26"/>
        </w:rPr>
      </w:pPr>
    </w:p>
    <w:p w:rsidR="007E31D6" w:rsidRPr="00212153" w:rsidRDefault="007E31D6" w:rsidP="007E31D6">
      <w:pPr>
        <w:ind w:firstLine="567"/>
        <w:jc w:val="both"/>
        <w:rPr>
          <w:sz w:val="26"/>
          <w:szCs w:val="26"/>
        </w:rPr>
      </w:pPr>
      <w:r w:rsidRPr="00EC7688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II</w:t>
      </w:r>
      <w:r w:rsidRPr="00EC7688">
        <w:rPr>
          <w:b/>
          <w:sz w:val="26"/>
          <w:szCs w:val="26"/>
        </w:rPr>
        <w:t>.</w:t>
      </w:r>
      <w:r w:rsidRPr="00EC7688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</w:p>
    <w:p w:rsidR="007E31D6" w:rsidRPr="00212153" w:rsidRDefault="007E31D6" w:rsidP="007E31D6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Волошина А.В., </w:t>
      </w:r>
      <w:r w:rsidR="00ED1E67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7E31D6" w:rsidRPr="00212153" w:rsidRDefault="007E31D6" w:rsidP="007E31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D1E67" w:rsidRPr="00CA6D02" w:rsidRDefault="00ED1E67" w:rsidP="00ED1E67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1. </w:t>
      </w:r>
      <w:r w:rsidRPr="00F8260A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F8260A">
        <w:rPr>
          <w:sz w:val="26"/>
          <w:szCs w:val="26"/>
        </w:rPr>
        <w:t xml:space="preserve"> Палаты</w:t>
      </w:r>
      <w:r w:rsidRPr="006403DB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AD34AC">
        <w:rPr>
          <w:sz w:val="25"/>
          <w:szCs w:val="25"/>
        </w:rPr>
        <w:t>от 08.11.2019 № 02-069, от 08.11.2019 № 02-070, от 08.11.2019 № 02-071</w:t>
      </w:r>
      <w:r w:rsidRPr="00CA6D02">
        <w:rPr>
          <w:sz w:val="25"/>
          <w:szCs w:val="25"/>
        </w:rPr>
        <w:t>, направленные в адрес государственного казенного учреждения Калужской области «</w:t>
      </w:r>
      <w:proofErr w:type="spellStart"/>
      <w:r w:rsidRPr="00CA6D02">
        <w:rPr>
          <w:sz w:val="25"/>
          <w:szCs w:val="25"/>
        </w:rPr>
        <w:t>Калугадорзаказчик</w:t>
      </w:r>
      <w:proofErr w:type="spellEnd"/>
      <w:r w:rsidRPr="00CA6D02">
        <w:rPr>
          <w:sz w:val="25"/>
          <w:szCs w:val="25"/>
        </w:rPr>
        <w:t>», министерства дорожного хозяйства Калужской области, государственного казенного учреждения Калужской области «Центр безопасности дорожного движения» по результатам контрольного мероприятия «Контроль результатов реализации подпрограммы «Повышение безопасности дорожного движения в Калужской области» государственной программы Калужской области «Развитие дорожного хозяйства Калужс</w:t>
      </w:r>
      <w:r>
        <w:rPr>
          <w:sz w:val="25"/>
          <w:szCs w:val="25"/>
        </w:rPr>
        <w:t xml:space="preserve">кой области» за 2017-2018 годы», </w:t>
      </w:r>
      <w:r>
        <w:rPr>
          <w:rFonts w:eastAsia="Calibri"/>
          <w:sz w:val="26"/>
          <w:szCs w:val="26"/>
        </w:rPr>
        <w:t>которые исполнены в полном объёме.</w:t>
      </w:r>
    </w:p>
    <w:p w:rsidR="00777A91" w:rsidRDefault="00ED1E67" w:rsidP="00ED1E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ED1E67" w:rsidRDefault="00ED1E67" w:rsidP="00ED1E67">
      <w:pPr>
        <w:ind w:firstLine="567"/>
        <w:jc w:val="both"/>
        <w:rPr>
          <w:sz w:val="26"/>
          <w:szCs w:val="26"/>
        </w:rPr>
      </w:pPr>
    </w:p>
    <w:p w:rsidR="00ED1E67" w:rsidRPr="00212153" w:rsidRDefault="00ED1E67" w:rsidP="00ED1E67">
      <w:pPr>
        <w:ind w:firstLine="567"/>
        <w:jc w:val="both"/>
        <w:rPr>
          <w:sz w:val="26"/>
          <w:szCs w:val="26"/>
        </w:rPr>
      </w:pPr>
      <w:r w:rsidRPr="00EC7688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III</w:t>
      </w:r>
      <w:r w:rsidRPr="00EC7688">
        <w:rPr>
          <w:b/>
          <w:sz w:val="26"/>
          <w:szCs w:val="26"/>
        </w:rPr>
        <w:t>.</w:t>
      </w:r>
      <w:r w:rsidRPr="00EC7688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консультанта руководителя Щербаковой О.Н.</w:t>
      </w:r>
    </w:p>
    <w:p w:rsidR="00ED1E67" w:rsidRPr="00212153" w:rsidRDefault="00ED1E67" w:rsidP="00ED1E67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proofErr w:type="spellStart"/>
      <w:r>
        <w:rPr>
          <w:sz w:val="26"/>
          <w:szCs w:val="26"/>
        </w:rPr>
        <w:t>Зезюлин</w:t>
      </w:r>
      <w:proofErr w:type="spellEnd"/>
      <w:r>
        <w:rPr>
          <w:sz w:val="26"/>
          <w:szCs w:val="26"/>
        </w:rPr>
        <w:t xml:space="preserve"> В.Н., Баскакова Н.М.</w:t>
      </w:r>
    </w:p>
    <w:p w:rsidR="00ED1E67" w:rsidRPr="00212153" w:rsidRDefault="00ED1E67" w:rsidP="00ED1E6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C548D4" w:rsidRPr="00C548D4" w:rsidRDefault="00C548D4" w:rsidP="00C548D4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C548D4">
        <w:rPr>
          <w:sz w:val="26"/>
          <w:szCs w:val="26"/>
        </w:rPr>
        <w:t xml:space="preserve">1. Внести в Положение об официальном Интернет-сайте </w:t>
      </w:r>
      <w:proofErr w:type="gramStart"/>
      <w:r w:rsidRPr="00C548D4">
        <w:rPr>
          <w:bCs/>
          <w:spacing w:val="-2"/>
          <w:sz w:val="26"/>
          <w:szCs w:val="26"/>
        </w:rPr>
        <w:t xml:space="preserve">и </w:t>
      </w:r>
      <w:r w:rsidRPr="00C548D4">
        <w:rPr>
          <w:sz w:val="26"/>
          <w:szCs w:val="26"/>
        </w:rPr>
        <w:t xml:space="preserve"> размещении</w:t>
      </w:r>
      <w:proofErr w:type="gramEnd"/>
      <w:r w:rsidRPr="00C548D4">
        <w:rPr>
          <w:sz w:val="26"/>
          <w:szCs w:val="26"/>
        </w:rPr>
        <w:t xml:space="preserve"> в сети Интернет информации о деятельности </w:t>
      </w:r>
      <w:r w:rsidRPr="00C548D4">
        <w:rPr>
          <w:bCs/>
          <w:spacing w:val="-2"/>
          <w:sz w:val="26"/>
          <w:szCs w:val="26"/>
        </w:rPr>
        <w:t>Контрольно-счётной палаты Калужской области</w:t>
      </w:r>
      <w:r w:rsidRPr="00C548D4">
        <w:rPr>
          <w:sz w:val="26"/>
          <w:szCs w:val="26"/>
        </w:rPr>
        <w:t xml:space="preserve">, утвержденное приказом от 30.12.2013 № 30-А (далее – Положение о сайте), следующие изменения: </w:t>
      </w:r>
    </w:p>
    <w:p w:rsidR="00C548D4" w:rsidRPr="00C548D4" w:rsidRDefault="00C548D4" w:rsidP="00C548D4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C548D4">
        <w:rPr>
          <w:sz w:val="26"/>
          <w:szCs w:val="26"/>
        </w:rPr>
        <w:t>а) подрубрику «Новости» рубрики «О Палате» (</w:t>
      </w:r>
      <w:r w:rsidRPr="00C548D4">
        <w:rPr>
          <w:color w:val="000000"/>
          <w:sz w:val="26"/>
          <w:szCs w:val="26"/>
        </w:rPr>
        <w:t xml:space="preserve">Приложение № 1 к </w:t>
      </w:r>
      <w:proofErr w:type="gramStart"/>
      <w:r w:rsidRPr="00C548D4">
        <w:rPr>
          <w:color w:val="000000"/>
          <w:sz w:val="26"/>
          <w:szCs w:val="26"/>
        </w:rPr>
        <w:t xml:space="preserve">Положению  </w:t>
      </w:r>
      <w:r w:rsidRPr="00C548D4">
        <w:rPr>
          <w:sz w:val="26"/>
          <w:szCs w:val="26"/>
        </w:rPr>
        <w:t>о</w:t>
      </w:r>
      <w:proofErr w:type="gramEnd"/>
      <w:r w:rsidRPr="00C548D4">
        <w:rPr>
          <w:sz w:val="26"/>
          <w:szCs w:val="26"/>
        </w:rPr>
        <w:t xml:space="preserve"> сайте) изложить в новой редакции:</w:t>
      </w:r>
    </w:p>
    <w:tbl>
      <w:tblPr>
        <w:tblStyle w:val="10"/>
        <w:tblW w:w="10137" w:type="dxa"/>
        <w:tblLayout w:type="fixed"/>
        <w:tblLook w:val="04A0" w:firstRow="1" w:lastRow="0" w:firstColumn="1" w:lastColumn="0" w:noHBand="0" w:noVBand="1"/>
      </w:tblPr>
      <w:tblGrid>
        <w:gridCol w:w="236"/>
        <w:gridCol w:w="1148"/>
        <w:gridCol w:w="1559"/>
        <w:gridCol w:w="1701"/>
        <w:gridCol w:w="1418"/>
        <w:gridCol w:w="2126"/>
        <w:gridCol w:w="1949"/>
      </w:tblGrid>
      <w:tr w:rsidR="00C548D4" w:rsidRPr="00C548D4" w:rsidTr="00836D42">
        <w:trPr>
          <w:trHeight w:val="989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 xml:space="preserve">Наименование </w:t>
            </w:r>
          </w:p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рубрики сайта</w:t>
            </w:r>
          </w:p>
        </w:tc>
        <w:tc>
          <w:tcPr>
            <w:tcW w:w="155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Подрубрика сайта</w:t>
            </w:r>
          </w:p>
        </w:tc>
        <w:tc>
          <w:tcPr>
            <w:tcW w:w="1701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Раздел сайта/ категория информации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Размещение исходного текста</w:t>
            </w:r>
          </w:p>
        </w:tc>
      </w:tr>
      <w:tr w:rsidR="00C548D4" w:rsidRPr="00C548D4" w:rsidTr="00836D42"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О Палате</w:t>
            </w:r>
          </w:p>
        </w:tc>
        <w:tc>
          <w:tcPr>
            <w:tcW w:w="155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48D4" w:rsidRPr="00C548D4" w:rsidTr="00836D42">
        <w:tblPrEx>
          <w:jc w:val="center"/>
        </w:tblPrEx>
        <w:trPr>
          <w:jc w:val="center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Новости</w:t>
            </w:r>
          </w:p>
        </w:tc>
        <w:tc>
          <w:tcPr>
            <w:tcW w:w="1701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Сведения о мероприятиях</w:t>
            </w:r>
            <w:r w:rsidRPr="00C548D4">
              <w:rPr>
                <w:sz w:val="24"/>
                <w:szCs w:val="24"/>
              </w:rPr>
              <w:lastRenderedPageBreak/>
              <w:t xml:space="preserve">, проводимых КСП, в </w:t>
            </w:r>
            <w:proofErr w:type="spellStart"/>
            <w:r w:rsidRPr="00C548D4">
              <w:rPr>
                <w:sz w:val="24"/>
                <w:szCs w:val="24"/>
              </w:rPr>
              <w:t>т.ч</w:t>
            </w:r>
            <w:proofErr w:type="spellEnd"/>
            <w:r w:rsidRPr="00C548D4">
              <w:rPr>
                <w:sz w:val="24"/>
                <w:szCs w:val="24"/>
              </w:rPr>
              <w:t>. сведения об официальных визитах и о рабочих поездках председателя КСП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C548D4">
              <w:rPr>
                <w:sz w:val="24"/>
                <w:szCs w:val="24"/>
              </w:rPr>
              <w:lastRenderedPageBreak/>
              <w:t>председателя; руководитель аппарата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color w:val="FF0000"/>
                <w:sz w:val="24"/>
                <w:szCs w:val="24"/>
              </w:rPr>
              <w:lastRenderedPageBreak/>
              <w:t>На следующий день после</w:t>
            </w:r>
            <w:r w:rsidRPr="00C548D4">
              <w:rPr>
                <w:strike/>
                <w:color w:val="FF0000"/>
                <w:sz w:val="24"/>
                <w:szCs w:val="24"/>
              </w:rPr>
              <w:t xml:space="preserve"> </w:t>
            </w:r>
            <w:r w:rsidRPr="00C548D4">
              <w:rPr>
                <w:sz w:val="24"/>
                <w:szCs w:val="24"/>
              </w:rPr>
              <w:lastRenderedPageBreak/>
              <w:t>проведения мероприятия;</w:t>
            </w:r>
          </w:p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в течение 1 дня со дня окончания визита или рабочей поездки;</w:t>
            </w:r>
          </w:p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в течении 1 дня участия в мероприятиях других государственных органов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lastRenderedPageBreak/>
              <w:t xml:space="preserve">R:\Документы\_Сайт\ О Палате </w:t>
            </w:r>
            <w:r w:rsidRPr="00C548D4">
              <w:rPr>
                <w:sz w:val="24"/>
                <w:szCs w:val="24"/>
              </w:rPr>
              <w:lastRenderedPageBreak/>
              <w:t>\Новости</w:t>
            </w:r>
          </w:p>
        </w:tc>
      </w:tr>
    </w:tbl>
    <w:p w:rsidR="00C548D4" w:rsidRPr="00C548D4" w:rsidRDefault="00C548D4" w:rsidP="00C548D4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C548D4">
        <w:rPr>
          <w:sz w:val="26"/>
          <w:szCs w:val="26"/>
        </w:rPr>
        <w:lastRenderedPageBreak/>
        <w:t>б) подрубрику «Мониторинг национальных проектов» рубрики «Деятельность» (</w:t>
      </w:r>
      <w:r w:rsidRPr="00C548D4">
        <w:rPr>
          <w:color w:val="000000"/>
          <w:sz w:val="26"/>
          <w:szCs w:val="26"/>
        </w:rPr>
        <w:t xml:space="preserve">Приложение № 2 к </w:t>
      </w:r>
      <w:proofErr w:type="gramStart"/>
      <w:r w:rsidRPr="00C548D4">
        <w:rPr>
          <w:color w:val="000000"/>
          <w:sz w:val="26"/>
          <w:szCs w:val="26"/>
        </w:rPr>
        <w:t xml:space="preserve">Положению  </w:t>
      </w:r>
      <w:r w:rsidRPr="00C548D4">
        <w:rPr>
          <w:sz w:val="26"/>
          <w:szCs w:val="26"/>
        </w:rPr>
        <w:t>о</w:t>
      </w:r>
      <w:proofErr w:type="gramEnd"/>
      <w:r w:rsidRPr="00C548D4">
        <w:rPr>
          <w:sz w:val="26"/>
          <w:szCs w:val="26"/>
        </w:rPr>
        <w:t xml:space="preserve"> сайте) изложить в новой редакции:</w:t>
      </w:r>
    </w:p>
    <w:tbl>
      <w:tblPr>
        <w:tblStyle w:val="10"/>
        <w:tblW w:w="10137" w:type="dxa"/>
        <w:tblLayout w:type="fixed"/>
        <w:tblLook w:val="04A0" w:firstRow="1" w:lastRow="0" w:firstColumn="1" w:lastColumn="0" w:noHBand="0" w:noVBand="1"/>
      </w:tblPr>
      <w:tblGrid>
        <w:gridCol w:w="236"/>
        <w:gridCol w:w="1148"/>
        <w:gridCol w:w="1134"/>
        <w:gridCol w:w="2126"/>
        <w:gridCol w:w="1418"/>
        <w:gridCol w:w="2126"/>
        <w:gridCol w:w="1949"/>
      </w:tblGrid>
      <w:tr w:rsidR="00C548D4" w:rsidRPr="00C548D4" w:rsidTr="00836D42">
        <w:trPr>
          <w:trHeight w:val="989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 xml:space="preserve">Наименование </w:t>
            </w:r>
          </w:p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рубрики сайта</w:t>
            </w: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Подрубрика сайта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Раздел сайта/ категория информации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8D4">
              <w:rPr>
                <w:b/>
                <w:sz w:val="24"/>
                <w:szCs w:val="24"/>
              </w:rPr>
              <w:t>Размещение исходного текста</w:t>
            </w:r>
          </w:p>
        </w:tc>
      </w:tr>
      <w:tr w:rsidR="00C548D4" w:rsidRPr="00C548D4" w:rsidTr="00836D42">
        <w:trPr>
          <w:trHeight w:val="573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Мониторинг национальных проектов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548D4">
              <w:rPr>
                <w:bCs/>
              </w:rPr>
              <w:t>ОБЩЕЕ РУКОВОДСТВО ЭАМ</w:t>
            </w:r>
          </w:p>
        </w:tc>
        <w:tc>
          <w:tcPr>
            <w:tcW w:w="5493" w:type="dxa"/>
            <w:gridSpan w:val="3"/>
            <w:vAlign w:val="center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Заместитель председателя</w:t>
            </w:r>
            <w:r w:rsidRPr="00C548D4">
              <w:rPr>
                <w:bCs/>
                <w:sz w:val="24"/>
                <w:szCs w:val="24"/>
              </w:rPr>
              <w:t xml:space="preserve"> Волошина А.В.</w:t>
            </w:r>
          </w:p>
        </w:tc>
      </w:tr>
      <w:tr w:rsidR="00C548D4" w:rsidRPr="00C548D4" w:rsidTr="00836D42">
        <w:trPr>
          <w:trHeight w:val="573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"Демография"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=-\НП\Демография\</w:t>
            </w:r>
          </w:p>
        </w:tc>
      </w:tr>
      <w:tr w:rsidR="00C548D4" w:rsidRPr="00C548D4" w:rsidTr="00836D42">
        <w:trPr>
          <w:trHeight w:val="573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"Здравоохранение"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</w:t>
            </w:r>
            <w:r w:rsidRPr="00C548D4">
              <w:rPr>
                <w:bCs/>
                <w:sz w:val="26"/>
                <w:szCs w:val="26"/>
              </w:rPr>
              <w:t xml:space="preserve"> Здравоохранение</w:t>
            </w:r>
            <w:r w:rsidRPr="00C548D4">
              <w:rPr>
                <w:sz w:val="24"/>
                <w:szCs w:val="24"/>
              </w:rPr>
              <w:t xml:space="preserve"> 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"Образование"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</w:t>
            </w:r>
            <w:r w:rsidRPr="00C548D4">
              <w:rPr>
                <w:bCs/>
                <w:sz w:val="26"/>
                <w:szCs w:val="26"/>
              </w:rPr>
              <w:t xml:space="preserve"> Образование</w:t>
            </w:r>
            <w:r w:rsidRPr="00C548D4">
              <w:rPr>
                <w:sz w:val="24"/>
                <w:szCs w:val="24"/>
              </w:rPr>
              <w:t xml:space="preserve"> 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"Жилье и городская среда"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</w:t>
            </w:r>
            <w:r w:rsidRPr="00C548D4">
              <w:rPr>
                <w:bCs/>
                <w:sz w:val="26"/>
                <w:szCs w:val="26"/>
              </w:rPr>
              <w:t xml:space="preserve"> Жилье и городская среда</w:t>
            </w:r>
            <w:r w:rsidRPr="00C548D4">
              <w:rPr>
                <w:sz w:val="24"/>
                <w:szCs w:val="24"/>
              </w:rPr>
              <w:t xml:space="preserve"> 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"Экология"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 xml:space="preserve">Ежеквартально в срок до 15 числа второго месяца, следующего за </w:t>
            </w:r>
            <w:r w:rsidRPr="00C548D4">
              <w:rPr>
                <w:sz w:val="24"/>
                <w:szCs w:val="24"/>
              </w:rPr>
              <w:lastRenderedPageBreak/>
              <w:t>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lastRenderedPageBreak/>
              <w:t>r:\Документы\Руководство\-= ДЛЯ ЗАПИСИ =-\НП\</w:t>
            </w:r>
            <w:r w:rsidRPr="00C548D4">
              <w:rPr>
                <w:bCs/>
                <w:sz w:val="26"/>
                <w:szCs w:val="26"/>
              </w:rPr>
              <w:t xml:space="preserve"> </w:t>
            </w:r>
            <w:r w:rsidRPr="00C548D4">
              <w:rPr>
                <w:bCs/>
                <w:sz w:val="26"/>
                <w:szCs w:val="26"/>
              </w:rPr>
              <w:lastRenderedPageBreak/>
              <w:t>Экология</w:t>
            </w:r>
            <w:r w:rsidRPr="00C548D4">
              <w:rPr>
                <w:sz w:val="24"/>
                <w:szCs w:val="24"/>
              </w:rPr>
              <w:t xml:space="preserve"> 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"Безопасные и качественные автомобильные дороги"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=-\НП\БКД\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"Повышение производительности труда и поддержка занятости"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</w:t>
            </w:r>
            <w:r w:rsidRPr="00C548D4">
              <w:rPr>
                <w:bCs/>
                <w:sz w:val="26"/>
                <w:szCs w:val="26"/>
              </w:rPr>
              <w:t xml:space="preserve"> Повышение производительности труда и поддержка занятости</w:t>
            </w:r>
            <w:r w:rsidRPr="00C548D4">
              <w:rPr>
                <w:sz w:val="24"/>
                <w:szCs w:val="24"/>
              </w:rPr>
              <w:t xml:space="preserve"> 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"Наука"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=-\НП\Наука\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"Цифровая экономика"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=-\НП\Цифровая экономика\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"Культура"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=-\НП\Культура\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 xml:space="preserve">НП "Малое и среднее предпринимательство и поддержка индивидуальной предпринимательской инициативы" 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=-\НП\МСП и ИП\</w:t>
            </w:r>
          </w:p>
        </w:tc>
      </w:tr>
      <w:tr w:rsidR="00C548D4" w:rsidRPr="00C548D4" w:rsidTr="00836D42">
        <w:trPr>
          <w:trHeight w:val="567"/>
        </w:trPr>
        <w:tc>
          <w:tcPr>
            <w:tcW w:w="23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48D4">
              <w:rPr>
                <w:bCs/>
                <w:sz w:val="26"/>
                <w:szCs w:val="26"/>
              </w:rPr>
              <w:t>НП "Международная кооперация и экспорт"</w:t>
            </w:r>
          </w:p>
        </w:tc>
        <w:tc>
          <w:tcPr>
            <w:tcW w:w="1418" w:type="dxa"/>
          </w:tcPr>
          <w:p w:rsidR="00C548D4" w:rsidRPr="00C548D4" w:rsidRDefault="00C548D4" w:rsidP="00C548D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8D4">
              <w:rPr>
                <w:sz w:val="26"/>
                <w:szCs w:val="26"/>
              </w:rPr>
              <w:t>Аудитор Баскакова Н.М.</w:t>
            </w:r>
          </w:p>
        </w:tc>
        <w:tc>
          <w:tcPr>
            <w:tcW w:w="2126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Ежеквартально в срок до 15 числа второго месяца, следующего за отчетным периодом</w:t>
            </w:r>
          </w:p>
        </w:tc>
        <w:tc>
          <w:tcPr>
            <w:tcW w:w="1949" w:type="dxa"/>
          </w:tcPr>
          <w:p w:rsidR="00C548D4" w:rsidRPr="00C548D4" w:rsidRDefault="00C548D4" w:rsidP="00C548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8D4">
              <w:rPr>
                <w:sz w:val="24"/>
                <w:szCs w:val="24"/>
              </w:rPr>
              <w:t>r:\Документы\Руководство\-= ДЛЯ ЗАПИСИ =-\НП\</w:t>
            </w:r>
            <w:r w:rsidRPr="00C548D4">
              <w:rPr>
                <w:bCs/>
                <w:sz w:val="26"/>
                <w:szCs w:val="26"/>
              </w:rPr>
              <w:t xml:space="preserve"> Международная кооперация и экспорт</w:t>
            </w:r>
            <w:r w:rsidRPr="00C548D4">
              <w:rPr>
                <w:sz w:val="24"/>
                <w:szCs w:val="24"/>
              </w:rPr>
              <w:t xml:space="preserve"> \</w:t>
            </w:r>
          </w:p>
        </w:tc>
      </w:tr>
    </w:tbl>
    <w:p w:rsidR="00C548D4" w:rsidRPr="00C548D4" w:rsidRDefault="00C548D4" w:rsidP="00C548D4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</w:p>
    <w:p w:rsidR="00C548D4" w:rsidRPr="00C548D4" w:rsidRDefault="00C548D4" w:rsidP="00C548D4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548D4">
        <w:rPr>
          <w:sz w:val="26"/>
          <w:szCs w:val="26"/>
        </w:rPr>
        <w:lastRenderedPageBreak/>
        <w:t>2. Предлагается изменения в подрубрику «Мониторинг НП» ввести в действие, начиная с отчетности по мониторингу за 2019 год.</w:t>
      </w:r>
    </w:p>
    <w:p w:rsidR="00C548D4" w:rsidRPr="00C548D4" w:rsidRDefault="00C548D4" w:rsidP="00C548D4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C548D4">
        <w:rPr>
          <w:sz w:val="26"/>
          <w:szCs w:val="26"/>
        </w:rPr>
        <w:t>3. Консультанту руководителя Щербаковой О.Н. подготовить электронную версию Положения о сайте с изменениями и дополнениями в срок до 17.02.2020.</w:t>
      </w:r>
    </w:p>
    <w:p w:rsidR="00C548D4" w:rsidRPr="00C548D4" w:rsidRDefault="00C548D4" w:rsidP="00C548D4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C548D4">
        <w:rPr>
          <w:sz w:val="26"/>
          <w:szCs w:val="26"/>
        </w:rPr>
        <w:t>4. Руководителю аппарата Фёдорову В.В. обеспечить размещение новой редакции Положения на Интернет-сайте Контрольно-счётной палаты в срок до 21.02.2019.</w:t>
      </w:r>
    </w:p>
    <w:p w:rsidR="00ED1E67" w:rsidRDefault="00C548D4" w:rsidP="00C548D4">
      <w:pPr>
        <w:ind w:firstLine="567"/>
        <w:jc w:val="both"/>
        <w:rPr>
          <w:sz w:val="26"/>
          <w:szCs w:val="26"/>
        </w:rPr>
      </w:pPr>
      <w:r w:rsidRPr="00C548D4">
        <w:rPr>
          <w:sz w:val="26"/>
          <w:szCs w:val="26"/>
        </w:rPr>
        <w:t>5. Контроль за исполнением настоящего решения оставляю за собой</w:t>
      </w:r>
      <w:r>
        <w:rPr>
          <w:sz w:val="26"/>
          <w:szCs w:val="26"/>
        </w:rPr>
        <w:t>.</w:t>
      </w:r>
    </w:p>
    <w:p w:rsidR="00ED1E67" w:rsidRDefault="00ED1E67" w:rsidP="00ED1E67">
      <w:pPr>
        <w:ind w:firstLine="567"/>
        <w:jc w:val="both"/>
        <w:rPr>
          <w:sz w:val="26"/>
          <w:szCs w:val="26"/>
        </w:rPr>
      </w:pPr>
    </w:p>
    <w:p w:rsidR="00ED1E67" w:rsidRPr="00504884" w:rsidRDefault="00ED1E67" w:rsidP="00ED1E67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ED1E67" w:rsidRPr="00504884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BF" w:rsidRDefault="008021BF">
      <w:r>
        <w:separator/>
      </w:r>
    </w:p>
  </w:endnote>
  <w:endnote w:type="continuationSeparator" w:id="0">
    <w:p w:rsidR="008021BF" w:rsidRDefault="0080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63D4">
      <w:rPr>
        <w:rStyle w:val="a6"/>
        <w:noProof/>
      </w:rPr>
      <w:t>7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BF" w:rsidRDefault="008021BF">
      <w:r>
        <w:separator/>
      </w:r>
    </w:p>
  </w:footnote>
  <w:footnote w:type="continuationSeparator" w:id="0">
    <w:p w:rsidR="008021BF" w:rsidRDefault="0080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804907"/>
    <w:multiLevelType w:val="hybridMultilevel"/>
    <w:tmpl w:val="D4F6A332"/>
    <w:lvl w:ilvl="0" w:tplc="7042F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1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4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7"/>
  </w:num>
  <w:num w:numId="33">
    <w:abstractNumId w:val="23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5"/>
  </w:num>
  <w:num w:numId="44">
    <w:abstractNumId w:val="28"/>
  </w:num>
  <w:num w:numId="45">
    <w:abstractNumId w:val="3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3D4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262D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2310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21BF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4F0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7991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C774-3409-4AA0-BC9F-41292AFB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258</cp:revision>
  <cp:lastPrinted>2020-02-20T10:36:00Z</cp:lastPrinted>
  <dcterms:created xsi:type="dcterms:W3CDTF">2017-08-29T08:56:00Z</dcterms:created>
  <dcterms:modified xsi:type="dcterms:W3CDTF">2020-02-21T09:05:00Z</dcterms:modified>
</cp:coreProperties>
</file>