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831FE6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AB5464">
        <w:rPr>
          <w:sz w:val="26"/>
          <w:szCs w:val="26"/>
        </w:rPr>
        <w:t xml:space="preserve"> </w:t>
      </w:r>
      <w:r w:rsidR="00255250">
        <w:rPr>
          <w:sz w:val="26"/>
          <w:szCs w:val="26"/>
        </w:rPr>
        <w:t>дека</w:t>
      </w:r>
      <w:r w:rsidR="00846877">
        <w:rPr>
          <w:sz w:val="26"/>
          <w:szCs w:val="26"/>
        </w:rPr>
        <w:t>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287F89">
        <w:rPr>
          <w:sz w:val="26"/>
          <w:szCs w:val="26"/>
        </w:rPr>
        <w:t>3</w:t>
      </w:r>
      <w:r>
        <w:rPr>
          <w:sz w:val="26"/>
          <w:szCs w:val="26"/>
        </w:rPr>
        <w:t>3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255250" w:rsidRDefault="0025525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846877" w:rsidRDefault="00846877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2D7785" w:rsidRDefault="002D778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287F89" w:rsidRDefault="00287F89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410BDC" w:rsidRDefault="00287F89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</w:t>
            </w:r>
            <w:r w:rsidR="00255250">
              <w:rPr>
                <w:sz w:val="26"/>
                <w:szCs w:val="26"/>
              </w:rPr>
              <w:t>.</w:t>
            </w:r>
          </w:p>
          <w:p w:rsidR="002D7785" w:rsidRPr="00212153" w:rsidRDefault="002D778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9461F4" w:rsidRPr="00B92C89" w:rsidRDefault="00AB5464" w:rsidP="009461F4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831FE6" w:rsidRPr="00597992">
        <w:rPr>
          <w:sz w:val="26"/>
          <w:szCs w:val="26"/>
        </w:rPr>
        <w:t>О результатах контрольного мероприятия «Анализ нормативных актов, регулирующих оказание платных услуг учреждениями здравоохранения Калужской области, а также анализ численности работников данных учреждений и расходов на оплату их труда за счет платных услуг за 2021-2022 годы и в текущем периоде 2023 года».</w:t>
      </w:r>
    </w:p>
    <w:p w:rsidR="004A10DE" w:rsidRPr="00B92C89" w:rsidRDefault="00346739" w:rsidP="000311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031108" w:rsidRPr="00D2532C">
        <w:rPr>
          <w:sz w:val="26"/>
          <w:szCs w:val="26"/>
        </w:rPr>
        <w:t>О результатах проведения в соответствии со статьёй 136 Бюджетного кодекса Российской Федерации внешней проверки годовых отчётов об исполнении местных бюджетов за 2022 год (пункт 3.8 плана работы Контрольно-счётной палаты Калужской области на 2023 год).</w:t>
      </w:r>
    </w:p>
    <w:p w:rsidR="004032BE" w:rsidRPr="00C902AD" w:rsidRDefault="00346739" w:rsidP="00C902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C26B4" w:rsidRPr="00CC26B4">
        <w:rPr>
          <w:sz w:val="26"/>
          <w:szCs w:val="26"/>
        </w:rPr>
        <w:t xml:space="preserve"> </w:t>
      </w:r>
      <w:r w:rsidR="00C902AD" w:rsidRPr="00D2532C">
        <w:rPr>
          <w:sz w:val="26"/>
          <w:szCs w:val="26"/>
        </w:rPr>
        <w:t>О результатах экспертно-аналитического мероприятия «Оценка бюджетно-налоговой устойчивости Калужской области»</w:t>
      </w:r>
      <w:r w:rsidR="00C902AD">
        <w:rPr>
          <w:sz w:val="26"/>
          <w:szCs w:val="26"/>
        </w:rPr>
        <w:t>.</w:t>
      </w:r>
    </w:p>
    <w:p w:rsidR="008E2158" w:rsidRDefault="00541FC2" w:rsidP="008E215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828CC">
        <w:rPr>
          <w:sz w:val="26"/>
          <w:szCs w:val="26"/>
        </w:rPr>
        <w:t xml:space="preserve">4. </w:t>
      </w:r>
      <w:r w:rsidR="00B104EA" w:rsidRPr="00D2532C">
        <w:rPr>
          <w:sz w:val="26"/>
          <w:szCs w:val="26"/>
        </w:rPr>
        <w:t>О результатах экспертно-аналитического мероприятия «Обобщение информации о результатах достижения показателей документов стратегического планирования Калужской области, соотносящихся с целями устойчивого развития»</w:t>
      </w:r>
      <w:r w:rsidR="00B104EA">
        <w:rPr>
          <w:sz w:val="26"/>
          <w:szCs w:val="26"/>
        </w:rPr>
        <w:t>.</w:t>
      </w:r>
    </w:p>
    <w:p w:rsidR="00B22FEB" w:rsidRPr="00B22FEB" w:rsidRDefault="0016296A" w:rsidP="00B06F6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B22FEB" w:rsidRPr="00B22FEB">
        <w:rPr>
          <w:sz w:val="26"/>
          <w:szCs w:val="26"/>
        </w:rPr>
        <w:t>О результатах социологического исследования «Качество жизни населения Калужской области в контексте реализуемых национальных проектов («Здравоохранение», «Образование», «Демография»)»</w:t>
      </w:r>
      <w:r w:rsidR="00B22FEB">
        <w:rPr>
          <w:sz w:val="26"/>
          <w:szCs w:val="26"/>
        </w:rPr>
        <w:t>.</w:t>
      </w:r>
    </w:p>
    <w:p w:rsidR="000C34D6" w:rsidRDefault="00CA50B1" w:rsidP="00B06F6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6.</w:t>
      </w:r>
      <w:r w:rsidRPr="00CA50B1">
        <w:rPr>
          <w:sz w:val="26"/>
          <w:szCs w:val="26"/>
        </w:rPr>
        <w:t xml:space="preserve"> </w:t>
      </w:r>
      <w:r w:rsidR="003F3852" w:rsidRPr="00312281">
        <w:rPr>
          <w:sz w:val="26"/>
          <w:szCs w:val="26"/>
        </w:rPr>
        <w:t>Об исполнении представлений Контрольно-счетной палаты Калужской области от 19.09.2023 № 07-193, 07-194, 07-195, 07-196, 07-197 и 07-198, направленных в адрес ГБУ КО «Кировская межрайонная станция по борьбе с болезнями животных», ГБУ КО «Калужская городская станция по борьбе с болезнями животных», Комитета ветеринарии при Правительстве Калужской области, администрации города Обнинска, администрации МР «Город Киров и Кировский район» и Городской управы города Калуги соответственно по результатам контрольного мероприятия «Проверка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за 2021-</w:t>
      </w:r>
      <w:r w:rsidR="003F3852" w:rsidRPr="00312281">
        <w:rPr>
          <w:sz w:val="26"/>
          <w:szCs w:val="26"/>
        </w:rPr>
        <w:lastRenderedPageBreak/>
        <w:t>2022 годы (отдельные вопросы – за текущий период 2023 года) (совместно с КСО районов)».</w:t>
      </w:r>
    </w:p>
    <w:p w:rsidR="000C34D6" w:rsidRDefault="00061594" w:rsidP="000C34D6">
      <w:pPr>
        <w:widowControl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7.</w:t>
      </w:r>
      <w:r w:rsidRPr="00061594">
        <w:rPr>
          <w:sz w:val="26"/>
          <w:szCs w:val="26"/>
        </w:rPr>
        <w:t xml:space="preserve"> </w:t>
      </w:r>
      <w:r w:rsidR="000C34D6" w:rsidRPr="005E036C">
        <w:rPr>
          <w:sz w:val="26"/>
          <w:szCs w:val="26"/>
        </w:rPr>
        <w:t>О подведении итогов параллельных и совместных контрольных мероприятий региональной Контрольно-счетной палаты с муниципальными контрольно-счетными органами в 2023 году.</w:t>
      </w:r>
    </w:p>
    <w:p w:rsidR="00061594" w:rsidRDefault="00061594" w:rsidP="00D94C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94CA6" w:rsidRPr="00A95A70">
        <w:rPr>
          <w:sz w:val="26"/>
          <w:szCs w:val="26"/>
        </w:rPr>
        <w:t>О внесении изменений в Классификатор нарушений, выявляемых в ходе внешнего государственного финансового контроля.</w:t>
      </w:r>
    </w:p>
    <w:p w:rsidR="008E17E9" w:rsidRDefault="008E17E9" w:rsidP="008E17E9">
      <w:pPr>
        <w:tabs>
          <w:tab w:val="left" w:pos="851"/>
        </w:tabs>
        <w:spacing w:after="16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9. </w:t>
      </w:r>
      <w:r w:rsidRPr="008E17E9">
        <w:rPr>
          <w:sz w:val="26"/>
          <w:szCs w:val="26"/>
        </w:rPr>
        <w:t>Информация о плане работы Контрольно-счётной палаты Калужской области на 2024 год.</w:t>
      </w:r>
    </w:p>
    <w:p w:rsidR="008E17E9" w:rsidRPr="008E17E9" w:rsidRDefault="008E17E9" w:rsidP="008E17E9">
      <w:pPr>
        <w:tabs>
          <w:tab w:val="left" w:pos="851"/>
        </w:tabs>
        <w:spacing w:after="160"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8E17E9">
        <w:rPr>
          <w:sz w:val="26"/>
          <w:szCs w:val="26"/>
        </w:rPr>
        <w:t>Утверждение плана работы Ассоциации контрольно-счётных органов Калужской области на 2024 год.</w:t>
      </w:r>
    </w:p>
    <w:p w:rsidR="008E17E9" w:rsidRPr="008E17E9" w:rsidRDefault="008E17E9" w:rsidP="008E17E9">
      <w:pPr>
        <w:tabs>
          <w:tab w:val="left" w:pos="567"/>
        </w:tabs>
        <w:spacing w:after="160" w:line="25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8E17E9">
        <w:rPr>
          <w:sz w:val="26"/>
          <w:szCs w:val="26"/>
        </w:rPr>
        <w:t xml:space="preserve">Информация об уплате членских взносов членами Ассоциации контрольно-счетных органов Калужской области в 2024 году. </w:t>
      </w:r>
    </w:p>
    <w:p w:rsidR="008E17E9" w:rsidRPr="008E17E9" w:rsidRDefault="008E17E9" w:rsidP="008E17E9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hanging="502"/>
        <w:jc w:val="both"/>
        <w:rPr>
          <w:rFonts w:ascii="Times New Roman" w:hAnsi="Times New Roman"/>
          <w:sz w:val="26"/>
          <w:szCs w:val="26"/>
        </w:rPr>
      </w:pPr>
      <w:r w:rsidRPr="008E17E9">
        <w:rPr>
          <w:rFonts w:ascii="Times New Roman" w:hAnsi="Times New Roman"/>
          <w:sz w:val="26"/>
          <w:szCs w:val="26"/>
        </w:rPr>
        <w:t>Награждение.</w:t>
      </w:r>
    </w:p>
    <w:p w:rsidR="00541FC2" w:rsidRPr="008E17E9" w:rsidRDefault="008E17E9" w:rsidP="008E17E9">
      <w:pPr>
        <w:pStyle w:val="ac"/>
        <w:numPr>
          <w:ilvl w:val="0"/>
          <w:numId w:val="47"/>
        </w:numPr>
        <w:tabs>
          <w:tab w:val="left" w:pos="851"/>
        </w:tabs>
        <w:spacing w:after="160" w:line="259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8E17E9">
        <w:rPr>
          <w:rFonts w:ascii="Times New Roman" w:hAnsi="Times New Roman"/>
          <w:sz w:val="26"/>
          <w:szCs w:val="26"/>
          <w:lang w:val="ru-RU"/>
        </w:rPr>
        <w:t>Подписание соглашений о сотрудничестве между Контрольно-счётной палатой Калужской области и контрольно-счётными органами муниципальных образований.</w:t>
      </w: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831FE6">
        <w:rPr>
          <w:sz w:val="26"/>
          <w:szCs w:val="26"/>
        </w:rPr>
        <w:t>аудитора Симакова В.М.</w:t>
      </w:r>
    </w:p>
    <w:p w:rsidR="001F5C8A" w:rsidRPr="00F2690E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2D7785">
        <w:rPr>
          <w:sz w:val="26"/>
          <w:szCs w:val="26"/>
        </w:rPr>
        <w:t>Борисов А.С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831FE6">
        <w:rPr>
          <w:sz w:val="26"/>
          <w:szCs w:val="26"/>
        </w:rPr>
        <w:t>Зезюлин В.Н</w:t>
      </w:r>
      <w:r w:rsidR="00FA6CED">
        <w:rPr>
          <w:sz w:val="26"/>
          <w:szCs w:val="26"/>
        </w:rPr>
        <w:t>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831FE6" w:rsidRDefault="00831FE6" w:rsidP="00831FE6">
      <w:pPr>
        <w:ind w:firstLine="567"/>
        <w:jc w:val="both"/>
        <w:rPr>
          <w:sz w:val="26"/>
          <w:szCs w:val="26"/>
        </w:rPr>
      </w:pPr>
      <w:r w:rsidRPr="000F277A">
        <w:rPr>
          <w:sz w:val="26"/>
          <w:szCs w:val="26"/>
        </w:rPr>
        <w:t xml:space="preserve">1. Рекомендовать к утверждению отчёт аудитора </w:t>
      </w:r>
      <w:r>
        <w:rPr>
          <w:sz w:val="26"/>
          <w:szCs w:val="26"/>
        </w:rPr>
        <w:t>Симакова В.М.</w:t>
      </w:r>
      <w:r w:rsidRPr="000F277A">
        <w:rPr>
          <w:sz w:val="26"/>
          <w:szCs w:val="26"/>
        </w:rPr>
        <w:t xml:space="preserve"> о результатах контрольного мероприятия «</w:t>
      </w:r>
      <w:r w:rsidRPr="00081212">
        <w:rPr>
          <w:rFonts w:hint="eastAsia"/>
          <w:sz w:val="26"/>
          <w:szCs w:val="26"/>
        </w:rPr>
        <w:t>Анализ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нормативных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актов</w:t>
      </w:r>
      <w:r w:rsidRPr="00081212">
        <w:rPr>
          <w:sz w:val="26"/>
          <w:szCs w:val="26"/>
        </w:rPr>
        <w:t xml:space="preserve">, </w:t>
      </w:r>
      <w:r w:rsidRPr="00081212">
        <w:rPr>
          <w:rFonts w:hint="eastAsia"/>
          <w:sz w:val="26"/>
          <w:szCs w:val="26"/>
        </w:rPr>
        <w:t>регулирующих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оказание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платных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услуг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учреждениями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здравоохранения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Калужской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области</w:t>
      </w:r>
      <w:r w:rsidRPr="00081212">
        <w:rPr>
          <w:sz w:val="26"/>
          <w:szCs w:val="26"/>
        </w:rPr>
        <w:t xml:space="preserve">, </w:t>
      </w:r>
      <w:r w:rsidRPr="00081212">
        <w:rPr>
          <w:rFonts w:hint="eastAsia"/>
          <w:sz w:val="26"/>
          <w:szCs w:val="26"/>
        </w:rPr>
        <w:t>а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также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анализ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численности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работников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данных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учреждений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и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расходов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на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оплату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их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труда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за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счет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платных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услуг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за</w:t>
      </w:r>
      <w:r w:rsidRPr="00081212">
        <w:rPr>
          <w:sz w:val="26"/>
          <w:szCs w:val="26"/>
        </w:rPr>
        <w:t xml:space="preserve"> 2021-2022 </w:t>
      </w:r>
      <w:r w:rsidRPr="00081212">
        <w:rPr>
          <w:rFonts w:hint="eastAsia"/>
          <w:sz w:val="26"/>
          <w:szCs w:val="26"/>
        </w:rPr>
        <w:t>годы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и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в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текущем</w:t>
      </w:r>
      <w:r w:rsidRPr="00081212">
        <w:rPr>
          <w:sz w:val="26"/>
          <w:szCs w:val="26"/>
        </w:rPr>
        <w:t xml:space="preserve"> </w:t>
      </w:r>
      <w:r w:rsidRPr="00081212">
        <w:rPr>
          <w:rFonts w:hint="eastAsia"/>
          <w:sz w:val="26"/>
          <w:szCs w:val="26"/>
        </w:rPr>
        <w:t>периоде</w:t>
      </w:r>
      <w:r w:rsidRPr="00081212">
        <w:rPr>
          <w:sz w:val="26"/>
          <w:szCs w:val="26"/>
        </w:rPr>
        <w:t xml:space="preserve"> 2023 </w:t>
      </w:r>
      <w:r w:rsidRPr="00081212">
        <w:rPr>
          <w:rFonts w:hint="eastAsia"/>
          <w:sz w:val="26"/>
          <w:szCs w:val="26"/>
        </w:rPr>
        <w:t>года</w:t>
      </w:r>
      <w:r w:rsidRPr="008A1DB2"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31FE6" w:rsidRPr="0000421F" w:rsidRDefault="00831FE6" w:rsidP="00831FE6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я</w:t>
      </w:r>
      <w:r w:rsidRPr="00070D87">
        <w:rPr>
          <w:sz w:val="26"/>
          <w:szCs w:val="26"/>
        </w:rPr>
        <w:t xml:space="preserve"> Палаты в адрес</w:t>
      </w:r>
      <w:r w:rsidRPr="00081212">
        <w:rPr>
          <w:sz w:val="26"/>
          <w:szCs w:val="26"/>
        </w:rPr>
        <w:t xml:space="preserve"> министерства здравоохранения Калужской области, ГБУЗ КО «Центральная районная больница Боровского района» и</w:t>
      </w:r>
      <w:r w:rsidRPr="00081212">
        <w:rPr>
          <w:b/>
          <w:sz w:val="26"/>
          <w:szCs w:val="26"/>
        </w:rPr>
        <w:t xml:space="preserve"> </w:t>
      </w:r>
      <w:r w:rsidRPr="00081212">
        <w:rPr>
          <w:sz w:val="26"/>
          <w:szCs w:val="26"/>
        </w:rPr>
        <w:t>ГБУЗ КО «Центральная межрайонная больница № 3»</w:t>
      </w:r>
      <w:r>
        <w:rPr>
          <w:sz w:val="26"/>
          <w:szCs w:val="26"/>
        </w:rPr>
        <w:t>.</w:t>
      </w:r>
      <w:r w:rsidRPr="009B25C1">
        <w:rPr>
          <w:sz w:val="26"/>
          <w:szCs w:val="26"/>
        </w:rPr>
        <w:t xml:space="preserve"> </w:t>
      </w:r>
    </w:p>
    <w:p w:rsidR="009461F4" w:rsidRPr="009461F4" w:rsidRDefault="00831FE6" w:rsidP="00831FE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3. </w:t>
      </w:r>
      <w:r w:rsidRPr="004D7103">
        <w:rPr>
          <w:sz w:val="26"/>
          <w:szCs w:val="26"/>
        </w:rPr>
        <w:t xml:space="preserve">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 Л.И</w:t>
      </w:r>
      <w:r w:rsidRPr="004D7103">
        <w:rPr>
          <w:sz w:val="26"/>
          <w:szCs w:val="26"/>
        </w:rPr>
        <w:t>.</w:t>
      </w:r>
    </w:p>
    <w:p w:rsidR="00265C5A" w:rsidRPr="00BF0D0B" w:rsidRDefault="00265C5A" w:rsidP="009461F4">
      <w:pPr>
        <w:tabs>
          <w:tab w:val="left" w:pos="5490"/>
        </w:tabs>
        <w:jc w:val="both"/>
        <w:rPr>
          <w:sz w:val="26"/>
          <w:szCs w:val="26"/>
        </w:rPr>
      </w:pPr>
    </w:p>
    <w:p w:rsidR="004032BE" w:rsidRPr="006B1275" w:rsidRDefault="004963C2" w:rsidP="004032BE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DE16EC">
        <w:rPr>
          <w:sz w:val="26"/>
          <w:szCs w:val="26"/>
        </w:rPr>
        <w:t xml:space="preserve">аудитора </w:t>
      </w:r>
      <w:r w:rsidR="000C34D6">
        <w:rPr>
          <w:sz w:val="26"/>
          <w:szCs w:val="26"/>
        </w:rPr>
        <w:t>Борисова А.С.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854E39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t xml:space="preserve">1. Рекомендовать к утверждению отчёт </w:t>
      </w:r>
      <w:r w:rsidRPr="00031108">
        <w:rPr>
          <w:rFonts w:eastAsia="Calibri"/>
          <w:sz w:val="26"/>
          <w:szCs w:val="26"/>
        </w:rPr>
        <w:t>по результатам проведения в соответствии с пунктом 4 статьи 136 Бюджетного кодекса Российской Федерации внешней проверки годовых отчётов об исполнении бюджетов за 2022 год.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t>2. До 29 декабря 2023 года направить: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t xml:space="preserve">заключение Контрольно-счётной палаты Калужской области по результатам внешней проверки годового отчета об исполнении бюджета </w:t>
      </w:r>
      <w:r w:rsidRPr="00031108">
        <w:rPr>
          <w:rFonts w:eastAsia="Calibri"/>
          <w:sz w:val="26"/>
          <w:szCs w:val="26"/>
        </w:rPr>
        <w:t xml:space="preserve">сельского поселения «Поселок Еленский» муниципального района «Хвастовичского район» </w:t>
      </w:r>
      <w:r w:rsidRPr="00031108">
        <w:rPr>
          <w:sz w:val="26"/>
          <w:szCs w:val="26"/>
        </w:rPr>
        <w:t xml:space="preserve">за 2022 год Главе </w:t>
      </w:r>
      <w:r w:rsidRPr="00031108">
        <w:rPr>
          <w:rFonts w:eastAsia="Calibri"/>
          <w:sz w:val="26"/>
          <w:szCs w:val="26"/>
        </w:rPr>
        <w:t>сельского поселения «Поселок Еленский» муниципального района «Хвастовичского район»</w:t>
      </w:r>
      <w:r w:rsidRPr="00031108">
        <w:rPr>
          <w:sz w:val="26"/>
          <w:szCs w:val="26"/>
        </w:rPr>
        <w:t xml:space="preserve"> и Главе администрации </w:t>
      </w:r>
      <w:r w:rsidRPr="00031108">
        <w:rPr>
          <w:rFonts w:eastAsia="Calibri"/>
          <w:sz w:val="26"/>
          <w:szCs w:val="26"/>
        </w:rPr>
        <w:t>сельского поселения «Поселок Еленский» муниципального района «Хвастовичского район»</w:t>
      </w:r>
      <w:r w:rsidRPr="00031108">
        <w:rPr>
          <w:sz w:val="26"/>
          <w:szCs w:val="26"/>
        </w:rPr>
        <w:t>;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lastRenderedPageBreak/>
        <w:t xml:space="preserve">заключение Контрольно-счётной палаты Калужской области по результатам внешней проверки годового отчета об исполнении бюджета </w:t>
      </w:r>
      <w:r w:rsidRPr="00031108">
        <w:rPr>
          <w:rFonts w:eastAsia="Calibri"/>
          <w:sz w:val="26"/>
          <w:szCs w:val="26"/>
        </w:rPr>
        <w:t>сельского поселения «Село Заречный» муниципального района «Город Людиново и Людиновский район»</w:t>
      </w:r>
      <w:r w:rsidRPr="00031108">
        <w:rPr>
          <w:sz w:val="26"/>
          <w:szCs w:val="26"/>
        </w:rPr>
        <w:t xml:space="preserve"> за 2022 год Главе</w:t>
      </w:r>
      <w:r w:rsidRPr="00031108">
        <w:rPr>
          <w:rFonts w:eastAsia="Calibri"/>
          <w:sz w:val="26"/>
          <w:szCs w:val="26"/>
        </w:rPr>
        <w:t xml:space="preserve"> сельского поселения «Село Заречный» муниципального района «Город Людиново и Людиновский район»</w:t>
      </w:r>
      <w:r w:rsidRPr="00031108">
        <w:rPr>
          <w:sz w:val="26"/>
          <w:szCs w:val="26"/>
        </w:rPr>
        <w:t xml:space="preserve"> и Главе администрации </w:t>
      </w:r>
      <w:r w:rsidRPr="00031108">
        <w:rPr>
          <w:rFonts w:eastAsia="Calibri"/>
          <w:sz w:val="26"/>
          <w:szCs w:val="26"/>
        </w:rPr>
        <w:t>сельского поселения «Село Заречный» муниципального района «Город Людиново и Людиновский район»</w:t>
      </w:r>
      <w:r w:rsidRPr="00031108">
        <w:rPr>
          <w:sz w:val="26"/>
          <w:szCs w:val="26"/>
        </w:rPr>
        <w:t>;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t xml:space="preserve">заключение Контрольно-счётной палаты Калужской области по результатам внешней проверки годового отчета об исполнении бюджета </w:t>
      </w:r>
      <w:r w:rsidRPr="00031108">
        <w:rPr>
          <w:rFonts w:eastAsia="Calibri"/>
          <w:sz w:val="26"/>
          <w:szCs w:val="26"/>
        </w:rPr>
        <w:t>сельское поселение «Село Совхоз им. Ленина» муниципального района «Дзержинский район»</w:t>
      </w:r>
      <w:r w:rsidRPr="00031108">
        <w:rPr>
          <w:sz w:val="26"/>
          <w:szCs w:val="26"/>
        </w:rPr>
        <w:t xml:space="preserve"> за 2022 год Главе </w:t>
      </w:r>
      <w:r w:rsidRPr="00031108">
        <w:rPr>
          <w:rFonts w:eastAsia="Calibri"/>
          <w:sz w:val="26"/>
          <w:szCs w:val="26"/>
        </w:rPr>
        <w:t>сельское поселение «Село Совхоз им. Ленина» муниципального района «Дзержинский район»</w:t>
      </w:r>
      <w:r w:rsidRPr="00031108">
        <w:rPr>
          <w:sz w:val="26"/>
          <w:szCs w:val="26"/>
        </w:rPr>
        <w:t xml:space="preserve"> и Главе администрации </w:t>
      </w:r>
      <w:r w:rsidRPr="00031108">
        <w:rPr>
          <w:rFonts w:eastAsia="Calibri"/>
          <w:sz w:val="26"/>
          <w:szCs w:val="26"/>
        </w:rPr>
        <w:t>сельское поселение «Село Совхоз им. Ленина» муниципального района «Дзержинский район»</w:t>
      </w:r>
      <w:r w:rsidRPr="00031108">
        <w:rPr>
          <w:sz w:val="26"/>
          <w:szCs w:val="26"/>
        </w:rPr>
        <w:t>.</w:t>
      </w:r>
    </w:p>
    <w:p w:rsidR="000C34D6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31108">
        <w:rPr>
          <w:sz w:val="26"/>
          <w:szCs w:val="26"/>
        </w:rPr>
        <w:t>3. Контроль за исполнением настоящего решения коллегии возложить на заместителя председателя Александрову Л.И.</w:t>
      </w:r>
    </w:p>
    <w:p w:rsidR="00031108" w:rsidRPr="00031108" w:rsidRDefault="00031108" w:rsidP="00031108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CC26B4" w:rsidRPr="006B1275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0C34D6">
        <w:rPr>
          <w:sz w:val="26"/>
          <w:szCs w:val="26"/>
        </w:rPr>
        <w:t>Борисова А.С.</w:t>
      </w:r>
    </w:p>
    <w:p w:rsidR="00CC26B4" w:rsidRPr="00F2690E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553249">
        <w:rPr>
          <w:sz w:val="26"/>
          <w:szCs w:val="26"/>
        </w:rPr>
        <w:t>Симаков В.М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201462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</w:p>
    <w:p w:rsidR="00CC26B4" w:rsidRDefault="00CC26B4" w:rsidP="00CC26B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C902AD" w:rsidRPr="00C902AD" w:rsidRDefault="00C902AD" w:rsidP="00C902A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902AD">
        <w:rPr>
          <w:sz w:val="26"/>
          <w:szCs w:val="26"/>
        </w:rPr>
        <w:t>1. Рекомендовать к утверждению отчёт о результатах экспертно-аналитического мероприятия «Оценка бюджетно-налоговой устойчивости Калужской области».</w:t>
      </w:r>
    </w:p>
    <w:p w:rsidR="00C902AD" w:rsidRPr="00C902AD" w:rsidRDefault="00C902AD" w:rsidP="00C902A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902AD">
        <w:rPr>
          <w:sz w:val="26"/>
          <w:szCs w:val="26"/>
        </w:rPr>
        <w:t>2. Результаты оценки бюджетно-налоговой устойчивости Калужской области рекомендовать к использованию в деятельности Контрольно-счётной палаты Калужской области.</w:t>
      </w:r>
    </w:p>
    <w:p w:rsidR="00C902AD" w:rsidRPr="00C902AD" w:rsidRDefault="00C902AD" w:rsidP="00C902A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902AD">
        <w:rPr>
          <w:sz w:val="26"/>
          <w:szCs w:val="26"/>
        </w:rPr>
        <w:t>3. Направить информацию по результатам оценки бюджетно-налоговой устойчивости Калужской области Губернатору Калужской области и министру финансов Калужской области в срок до 27 декабря 2023 года.</w:t>
      </w:r>
    </w:p>
    <w:p w:rsidR="000C34D6" w:rsidRDefault="00C902AD" w:rsidP="00C902AD">
      <w:pPr>
        <w:ind w:firstLine="567"/>
        <w:jc w:val="both"/>
        <w:rPr>
          <w:sz w:val="26"/>
          <w:szCs w:val="26"/>
        </w:rPr>
      </w:pPr>
      <w:r w:rsidRPr="00C902AD">
        <w:rPr>
          <w:sz w:val="26"/>
          <w:szCs w:val="26"/>
        </w:rPr>
        <w:t>4. Контроль за исполнением настоящего решения коллегии возложить на заместителя председателя Палаты Александрову Л.И.</w:t>
      </w:r>
    </w:p>
    <w:p w:rsidR="00C902AD" w:rsidRPr="00C902AD" w:rsidRDefault="00C902AD" w:rsidP="00C902AD">
      <w:pPr>
        <w:ind w:firstLine="567"/>
        <w:jc w:val="both"/>
        <w:rPr>
          <w:sz w:val="26"/>
          <w:szCs w:val="26"/>
        </w:rPr>
      </w:pPr>
    </w:p>
    <w:p w:rsidR="00541FC2" w:rsidRPr="006B1275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0C34D6">
        <w:rPr>
          <w:sz w:val="26"/>
          <w:szCs w:val="26"/>
        </w:rPr>
        <w:t>Борисова А.С.</w:t>
      </w:r>
    </w:p>
    <w:p w:rsidR="00541FC2" w:rsidRPr="00F2690E" w:rsidRDefault="00541FC2" w:rsidP="00541F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994BA1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Александрова Л.И.</w:t>
      </w:r>
    </w:p>
    <w:p w:rsidR="00541FC2" w:rsidRDefault="00541FC2" w:rsidP="00541F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104EA" w:rsidRPr="00B104EA" w:rsidRDefault="00B104EA" w:rsidP="00B104E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104EA">
        <w:rPr>
          <w:sz w:val="26"/>
          <w:szCs w:val="26"/>
        </w:rPr>
        <w:t>1. Рекомендовать к утверждению отчёт о результатах экспертно-аналитического мероприятия «Обобщение информации о результатах достижения показателей документов стратегического планирования Калужской области, соотносящихся с целями устойчивого развития».</w:t>
      </w:r>
    </w:p>
    <w:p w:rsidR="00B104EA" w:rsidRPr="00B104EA" w:rsidRDefault="00B104EA" w:rsidP="00B104E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104EA">
        <w:rPr>
          <w:sz w:val="26"/>
          <w:szCs w:val="26"/>
        </w:rPr>
        <w:t>2. Обобщенную информацию о результатах достижения показателей документов стратегического планирования Калужской области, соотносящихся с целями устойчивого развития, рекомендовать к использованию в деятельности Контрольно-счётной палаты Калужской области.</w:t>
      </w:r>
    </w:p>
    <w:p w:rsidR="00B104EA" w:rsidRPr="00B104EA" w:rsidRDefault="00B104EA" w:rsidP="00B104E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104EA">
        <w:rPr>
          <w:sz w:val="26"/>
          <w:szCs w:val="26"/>
        </w:rPr>
        <w:t xml:space="preserve">3. Использовать обобщенную информацию о результатах достижения показателей документов стратегического планирования Калужской области, соотносящихся с целями устойчивого развития, и результаты социологического исследования «Качество жизни населения Калужской области в контексте реализуемых национальных проектов («Здравоохранение», «Образование», «Демография»)», проведённого совместно с Калужским филиалом ФГБОУ ВО </w:t>
      </w:r>
      <w:r w:rsidRPr="00B104EA">
        <w:rPr>
          <w:sz w:val="26"/>
          <w:szCs w:val="26"/>
        </w:rPr>
        <w:lastRenderedPageBreak/>
        <w:t>«Финансовый университет при Правительстве Российской Федерации», для подготовки информации Губернатору Калужской области.</w:t>
      </w:r>
    </w:p>
    <w:p w:rsidR="000C34D6" w:rsidRDefault="00B104EA" w:rsidP="00B104EA">
      <w:pPr>
        <w:ind w:firstLine="567"/>
        <w:jc w:val="both"/>
        <w:rPr>
          <w:sz w:val="26"/>
          <w:szCs w:val="26"/>
        </w:rPr>
      </w:pPr>
      <w:r w:rsidRPr="00B104EA">
        <w:rPr>
          <w:sz w:val="26"/>
          <w:szCs w:val="26"/>
        </w:rPr>
        <w:t>4. Контроль за исполнением настоящего решения коллегии возложить на заместителя председателя Палаты Александрову Л.И.</w:t>
      </w:r>
    </w:p>
    <w:p w:rsidR="00B104EA" w:rsidRDefault="00B104EA" w:rsidP="00B104EA">
      <w:pPr>
        <w:ind w:firstLine="567"/>
        <w:jc w:val="both"/>
        <w:rPr>
          <w:sz w:val="26"/>
          <w:szCs w:val="26"/>
        </w:rPr>
      </w:pPr>
    </w:p>
    <w:p w:rsidR="0016296A" w:rsidRPr="006B1275" w:rsidRDefault="0016296A" w:rsidP="0016296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0C34D6">
        <w:rPr>
          <w:sz w:val="26"/>
          <w:szCs w:val="26"/>
        </w:rPr>
        <w:t>директора ФинУниверситета Матчинова В.А.</w:t>
      </w:r>
    </w:p>
    <w:p w:rsidR="0016296A" w:rsidRPr="00F2690E" w:rsidRDefault="0016296A" w:rsidP="0016296A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 w:rsidR="00453701">
        <w:rPr>
          <w:sz w:val="26"/>
          <w:szCs w:val="26"/>
        </w:rPr>
        <w:t>Никифоров В.А</w:t>
      </w:r>
      <w:r>
        <w:rPr>
          <w:sz w:val="26"/>
          <w:szCs w:val="26"/>
        </w:rPr>
        <w:t>.</w:t>
      </w:r>
    </w:p>
    <w:p w:rsidR="0016296A" w:rsidRDefault="0016296A" w:rsidP="0016296A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B22FEB" w:rsidRPr="00B22FEB" w:rsidRDefault="00B22FEB" w:rsidP="00B22F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22FEB">
        <w:rPr>
          <w:sz w:val="26"/>
          <w:szCs w:val="26"/>
        </w:rPr>
        <w:t>1. Рекомендовать к утверждению отчёт о результатах социологического исследования «Качество жизни населения Калужской области в контексте реализуемых национальных проектов («Здравоохранение», «Образование», «Демография»)».</w:t>
      </w:r>
    </w:p>
    <w:p w:rsidR="00B22FEB" w:rsidRPr="00B22FEB" w:rsidRDefault="00B22FEB" w:rsidP="00B22F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22FEB">
        <w:rPr>
          <w:sz w:val="26"/>
          <w:szCs w:val="26"/>
        </w:rPr>
        <w:t>2. Отчёт о результатах социологического исследования «Качество жизни населения Калужской области в контексте реализуемых национальных проектов («Здравоохранение», «Образование», «Демография»)» рекомендовать к использованию в деятельности Контрольно-счётной палаты Калужской области.</w:t>
      </w:r>
    </w:p>
    <w:p w:rsidR="00B22FEB" w:rsidRPr="00B22FEB" w:rsidRDefault="00B22FEB" w:rsidP="00B22FE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22FEB">
        <w:rPr>
          <w:sz w:val="26"/>
          <w:szCs w:val="26"/>
        </w:rPr>
        <w:t>3. Использовать результаты социологического исследования «Качество жизни населения Калужской области в контексте реализуемых национальных проектов («Здравоохранение», «Образование», «Демография»)», проведённого совместно с Калужским филиалом ФГБОУ ВО «Финансовый университет при Правительстве Российской Федерации», и обобщенную информацию о результатах достижения показателей документов стратегического планирования Калужской области, соотносящихся с целями устойчивого развития для подготовки информации Губернатору Калужской области.</w:t>
      </w:r>
    </w:p>
    <w:p w:rsidR="000C34D6" w:rsidRDefault="00B22FEB" w:rsidP="00B22FEB">
      <w:pPr>
        <w:ind w:firstLine="567"/>
        <w:jc w:val="both"/>
        <w:rPr>
          <w:sz w:val="26"/>
          <w:szCs w:val="26"/>
        </w:rPr>
      </w:pPr>
      <w:r w:rsidRPr="00B22FEB">
        <w:rPr>
          <w:sz w:val="26"/>
          <w:szCs w:val="26"/>
        </w:rPr>
        <w:t>4. Контроль за исполнением настоящего решения коллегии возложить на заместителя председателя Палаты Александрову Л.И.</w:t>
      </w:r>
    </w:p>
    <w:p w:rsidR="000C34D6" w:rsidRDefault="000C34D6" w:rsidP="00CA50B1">
      <w:pPr>
        <w:ind w:firstLine="567"/>
        <w:jc w:val="both"/>
        <w:rPr>
          <w:sz w:val="26"/>
          <w:szCs w:val="26"/>
        </w:rPr>
      </w:pPr>
    </w:p>
    <w:p w:rsidR="00CA50B1" w:rsidRPr="006B1275" w:rsidRDefault="00CA50B1" w:rsidP="00CA50B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0C34D6">
        <w:rPr>
          <w:sz w:val="26"/>
          <w:szCs w:val="26"/>
        </w:rPr>
        <w:t>Борисова А.С.</w:t>
      </w:r>
    </w:p>
    <w:p w:rsidR="00CA50B1" w:rsidRPr="00F2690E" w:rsidRDefault="00CA50B1" w:rsidP="00CA50B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B06F6A">
        <w:rPr>
          <w:sz w:val="26"/>
          <w:szCs w:val="26"/>
        </w:rPr>
        <w:t>Сиваев Д.В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CA50B1" w:rsidRDefault="00CA50B1" w:rsidP="00CA50B1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3F3852" w:rsidRPr="0045041E" w:rsidRDefault="003F3852" w:rsidP="003F38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 xml:space="preserve">Рекомендовать снять с контроля </w:t>
      </w:r>
      <w:r w:rsidRPr="00643C14">
        <w:rPr>
          <w:sz w:val="26"/>
          <w:szCs w:val="26"/>
        </w:rPr>
        <w:t>представления Палаты от 19.09.2023 № 07-193, 07-194, 07-195, 07-196, 07-197 и 07-198, выполненные</w:t>
      </w:r>
      <w:r>
        <w:rPr>
          <w:sz w:val="26"/>
          <w:szCs w:val="26"/>
        </w:rPr>
        <w:t xml:space="preserve"> в полном объёме.</w:t>
      </w:r>
    </w:p>
    <w:p w:rsidR="000C34D6" w:rsidRDefault="003F3852" w:rsidP="003F38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3F3852" w:rsidRDefault="003F3852" w:rsidP="003F3852">
      <w:pPr>
        <w:ind w:firstLine="567"/>
        <w:jc w:val="both"/>
        <w:rPr>
          <w:sz w:val="26"/>
          <w:szCs w:val="26"/>
        </w:rPr>
      </w:pPr>
    </w:p>
    <w:p w:rsidR="00061594" w:rsidRPr="006B1275" w:rsidRDefault="00061594" w:rsidP="0006159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0C34D6">
        <w:rPr>
          <w:sz w:val="26"/>
          <w:szCs w:val="26"/>
        </w:rPr>
        <w:t>заместителя председателя Александровой Л.И.</w:t>
      </w:r>
    </w:p>
    <w:p w:rsidR="00061594" w:rsidRPr="00F2690E" w:rsidRDefault="00061594" w:rsidP="0006159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Авдеева Т.А.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Никифоров В.А.</w:t>
      </w:r>
    </w:p>
    <w:p w:rsidR="00061594" w:rsidRDefault="00061594" w:rsidP="0006159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C34D6" w:rsidRPr="000C34D6" w:rsidRDefault="000C34D6" w:rsidP="000C34D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4D6">
        <w:rPr>
          <w:sz w:val="26"/>
          <w:szCs w:val="26"/>
        </w:rPr>
        <w:t>1. Принять информацию об итогах параллельных и совместных контрольных мероприятий Контрольно-счетной палаты Калужской области с муниципальными контрольно-счетными органами в 2023 году к сведению.</w:t>
      </w:r>
    </w:p>
    <w:p w:rsidR="000C34D6" w:rsidRPr="000C34D6" w:rsidRDefault="000C34D6" w:rsidP="000C34D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4D6">
        <w:rPr>
          <w:sz w:val="26"/>
          <w:szCs w:val="26"/>
        </w:rPr>
        <w:t>2. Рекомендовать муниципальным контрольно-счетным органам активнее участвовать в работе по перспективному планированию указанных мероприятий по актуальным тематикам.</w:t>
      </w:r>
    </w:p>
    <w:p w:rsidR="000C34D6" w:rsidRPr="000C34D6" w:rsidRDefault="000C34D6" w:rsidP="000C34D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4D6">
        <w:rPr>
          <w:sz w:val="26"/>
          <w:szCs w:val="26"/>
        </w:rPr>
        <w:t>3. Заместителю председателя Александровой Л.И. обеспечить подготовку краткой информации по указанному вопросу для размещения в социальных сетях и на официальном сайте Палаты.</w:t>
      </w:r>
    </w:p>
    <w:p w:rsidR="00061594" w:rsidRDefault="000C34D6" w:rsidP="000C34D6">
      <w:pPr>
        <w:tabs>
          <w:tab w:val="left" w:pos="5490"/>
        </w:tabs>
        <w:ind w:firstLine="720"/>
        <w:jc w:val="both"/>
        <w:rPr>
          <w:sz w:val="26"/>
          <w:szCs w:val="26"/>
        </w:rPr>
      </w:pPr>
      <w:r w:rsidRPr="000C34D6">
        <w:rPr>
          <w:sz w:val="26"/>
          <w:szCs w:val="26"/>
        </w:rPr>
        <w:t>4. Контроль за исполнением настоящего решения Коллегии оставляю за собой.</w:t>
      </w:r>
    </w:p>
    <w:p w:rsidR="000C34D6" w:rsidRDefault="000C34D6" w:rsidP="000C34D6">
      <w:pPr>
        <w:tabs>
          <w:tab w:val="left" w:pos="5490"/>
        </w:tabs>
        <w:ind w:firstLine="720"/>
        <w:jc w:val="both"/>
        <w:rPr>
          <w:sz w:val="26"/>
          <w:szCs w:val="26"/>
        </w:rPr>
      </w:pPr>
    </w:p>
    <w:p w:rsidR="00061594" w:rsidRPr="006B1275" w:rsidRDefault="00061594" w:rsidP="0006159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D94CA6">
        <w:rPr>
          <w:sz w:val="26"/>
          <w:szCs w:val="26"/>
        </w:rPr>
        <w:t>заместителя руководителя аппарата Щербаковой О.Н.</w:t>
      </w:r>
    </w:p>
    <w:p w:rsidR="00061594" w:rsidRPr="00F2690E" w:rsidRDefault="00061594" w:rsidP="0006159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Симаков В.М.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Никифоров В.А.</w:t>
      </w:r>
    </w:p>
    <w:p w:rsidR="00061594" w:rsidRDefault="00061594" w:rsidP="0006159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D94CA6" w:rsidRPr="00D94CA6" w:rsidRDefault="00D94CA6" w:rsidP="00D94CA6">
      <w:pPr>
        <w:widowControl w:val="0"/>
        <w:ind w:right="142" w:firstLine="709"/>
        <w:jc w:val="both"/>
        <w:rPr>
          <w:spacing w:val="-4"/>
          <w:sz w:val="26"/>
          <w:szCs w:val="26"/>
        </w:rPr>
      </w:pPr>
      <w:r w:rsidRPr="00D94CA6">
        <w:rPr>
          <w:sz w:val="26"/>
          <w:szCs w:val="26"/>
        </w:rPr>
        <w:t xml:space="preserve">1. Рекомендовать к утверждению и введению в действие с 01.01.2024 следующих изменений и дополнений в Классификатор нарушений, выявляемых в ходе внешнего государственного финансового контроля, утвержденный </w:t>
      </w:r>
      <w:r w:rsidRPr="00D94CA6">
        <w:rPr>
          <w:spacing w:val="-4"/>
          <w:sz w:val="26"/>
          <w:szCs w:val="26"/>
        </w:rPr>
        <w:t>приказом Палаты от 10.06.2022 № 22-А:</w:t>
      </w:r>
    </w:p>
    <w:p w:rsidR="00D94CA6" w:rsidRPr="00D94CA6" w:rsidRDefault="00D94CA6" w:rsidP="00D94CA6">
      <w:pPr>
        <w:ind w:firstLine="567"/>
        <w:jc w:val="both"/>
        <w:rPr>
          <w:sz w:val="26"/>
          <w:szCs w:val="26"/>
        </w:rPr>
      </w:pPr>
      <w:r w:rsidRPr="00D94CA6">
        <w:rPr>
          <w:spacing w:val="-4"/>
          <w:sz w:val="26"/>
          <w:szCs w:val="26"/>
        </w:rPr>
        <w:t>а) п</w:t>
      </w:r>
      <w:r w:rsidRPr="00D94CA6">
        <w:rPr>
          <w:sz w:val="26"/>
          <w:szCs w:val="26"/>
        </w:rPr>
        <w:t>ункт 1.2.75.А Классификатора изложить в следующей редакции:</w:t>
      </w:r>
    </w:p>
    <w:p w:rsidR="00D94CA6" w:rsidRPr="00D94CA6" w:rsidRDefault="00D94CA6" w:rsidP="00D94CA6">
      <w:pPr>
        <w:ind w:firstLine="567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07"/>
        <w:gridCol w:w="1482"/>
        <w:gridCol w:w="884"/>
        <w:gridCol w:w="923"/>
        <w:gridCol w:w="896"/>
        <w:gridCol w:w="1720"/>
        <w:gridCol w:w="1373"/>
      </w:tblGrid>
      <w:tr w:rsidR="00D94CA6" w:rsidRPr="00D94CA6" w:rsidTr="00ED1D5E">
        <w:tc>
          <w:tcPr>
            <w:tcW w:w="387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Пункт</w:t>
            </w:r>
          </w:p>
        </w:tc>
        <w:tc>
          <w:tcPr>
            <w:tcW w:w="876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Вид нарушения/нарушение</w:t>
            </w:r>
          </w:p>
        </w:tc>
        <w:tc>
          <w:tcPr>
            <w:tcW w:w="761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6"/>
              </w:rPr>
            </w:pPr>
            <w:r w:rsidRPr="00D94CA6">
              <w:rPr>
                <w:spacing w:val="-6"/>
              </w:rPr>
              <w:t xml:space="preserve">Правовые </w:t>
            </w:r>
            <w:r w:rsidRPr="00D94CA6">
              <w:rPr>
                <w:spacing w:val="-6"/>
              </w:rPr>
              <w:br/>
              <w:t>основания квалификации нарушения</w:t>
            </w:r>
          </w:p>
        </w:tc>
        <w:tc>
          <w:tcPr>
            <w:tcW w:w="454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Единица измерения</w:t>
            </w:r>
          </w:p>
        </w:tc>
        <w:tc>
          <w:tcPr>
            <w:tcW w:w="474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Группа нарушения</w:t>
            </w:r>
          </w:p>
        </w:tc>
        <w:tc>
          <w:tcPr>
            <w:tcW w:w="460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Мера ответственности</w:t>
            </w:r>
          </w:p>
        </w:tc>
        <w:tc>
          <w:tcPr>
            <w:tcW w:w="883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Критерии отражения нарушения в денежном выражении</w:t>
            </w:r>
          </w:p>
        </w:tc>
        <w:tc>
          <w:tcPr>
            <w:tcW w:w="706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Расчет суммы нарушения по критерию</w:t>
            </w:r>
          </w:p>
        </w:tc>
      </w:tr>
      <w:tr w:rsidR="00D94CA6" w:rsidRPr="00D94CA6" w:rsidTr="00ED1D5E">
        <w:tc>
          <w:tcPr>
            <w:tcW w:w="387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1</w:t>
            </w:r>
          </w:p>
        </w:tc>
        <w:tc>
          <w:tcPr>
            <w:tcW w:w="876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6"/>
              </w:rPr>
            </w:pPr>
            <w:r w:rsidRPr="00D94CA6">
              <w:rPr>
                <w:spacing w:val="-6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7</w:t>
            </w:r>
          </w:p>
        </w:tc>
        <w:tc>
          <w:tcPr>
            <w:tcW w:w="706" w:type="pct"/>
            <w:shd w:val="clear" w:color="auto" w:fill="auto"/>
          </w:tcPr>
          <w:p w:rsidR="00D94CA6" w:rsidRPr="00D94CA6" w:rsidRDefault="00D94CA6" w:rsidP="00D94CA6">
            <w:pPr>
              <w:widowControl w:val="0"/>
              <w:spacing w:line="228" w:lineRule="auto"/>
              <w:ind w:left="-57" w:right="-57"/>
              <w:jc w:val="center"/>
              <w:rPr>
                <w:spacing w:val="-4"/>
              </w:rPr>
            </w:pPr>
            <w:r w:rsidRPr="00D94CA6">
              <w:rPr>
                <w:spacing w:val="-4"/>
              </w:rPr>
              <w:t>8</w:t>
            </w:r>
          </w:p>
        </w:tc>
      </w:tr>
      <w:tr w:rsidR="00D94CA6" w:rsidRPr="00D94CA6" w:rsidTr="00ED1D5E">
        <w:tc>
          <w:tcPr>
            <w:tcW w:w="387" w:type="pct"/>
            <w:shd w:val="clear" w:color="auto" w:fill="auto"/>
          </w:tcPr>
          <w:p w:rsidR="00D94CA6" w:rsidRPr="00D94CA6" w:rsidRDefault="00D94CA6" w:rsidP="00D94CA6">
            <w:r w:rsidRPr="00D94CA6">
              <w:t>1.2.75А</w:t>
            </w:r>
          </w:p>
        </w:tc>
        <w:tc>
          <w:tcPr>
            <w:tcW w:w="876" w:type="pct"/>
            <w:shd w:val="clear" w:color="auto" w:fill="auto"/>
          </w:tcPr>
          <w:p w:rsidR="00D94CA6" w:rsidRPr="00D94CA6" w:rsidRDefault="00D94CA6" w:rsidP="00D94CA6">
            <w:r w:rsidRPr="00D94CA6">
              <w:t>Нарушения при расходовании средств территориального фонда обязательного медицинского страхования органом управления фондом</w:t>
            </w:r>
          </w:p>
        </w:tc>
        <w:tc>
          <w:tcPr>
            <w:tcW w:w="761" w:type="pct"/>
            <w:shd w:val="clear" w:color="auto" w:fill="auto"/>
          </w:tcPr>
          <w:p w:rsidR="00D94CA6" w:rsidRPr="00D94CA6" w:rsidRDefault="00D94CA6" w:rsidP="00D94CA6">
            <w:r w:rsidRPr="00D94CA6">
              <w:t xml:space="preserve">Ст. 34 БК РФ, </w:t>
            </w:r>
            <w:r w:rsidRPr="00D94CA6">
              <w:rPr>
                <w:spacing w:val="-6"/>
              </w:rPr>
              <w:t>ФЗ от 29.11.2010 № 326-ФЗ,</w:t>
            </w:r>
            <w:r w:rsidRPr="00D94CA6">
              <w:t xml:space="preserve"> Закон о бюджете фонда ОМС на соответствующий период,  ПП КО от  21.12.2011 №685, ЗКО от 03.12.2007 № 381-ОЗ </w:t>
            </w:r>
          </w:p>
        </w:tc>
        <w:tc>
          <w:tcPr>
            <w:tcW w:w="454" w:type="pct"/>
            <w:shd w:val="clear" w:color="auto" w:fill="auto"/>
          </w:tcPr>
          <w:p w:rsidR="00D94CA6" w:rsidRPr="00D94CA6" w:rsidRDefault="00D94CA6" w:rsidP="00D94CA6">
            <w:r w:rsidRPr="00D94CA6">
              <w:t>Кол-во, кол-во и тыс. рублей</w:t>
            </w:r>
          </w:p>
        </w:tc>
        <w:tc>
          <w:tcPr>
            <w:tcW w:w="474" w:type="pct"/>
            <w:shd w:val="clear" w:color="auto" w:fill="auto"/>
          </w:tcPr>
          <w:p w:rsidR="00D94CA6" w:rsidRPr="00D94CA6" w:rsidRDefault="00D94CA6" w:rsidP="00D94CA6">
            <w:pPr>
              <w:jc w:val="center"/>
            </w:pPr>
            <w:r w:rsidRPr="00D94CA6">
              <w:t>1</w:t>
            </w:r>
          </w:p>
        </w:tc>
        <w:tc>
          <w:tcPr>
            <w:tcW w:w="460" w:type="pct"/>
            <w:shd w:val="clear" w:color="auto" w:fill="auto"/>
          </w:tcPr>
          <w:p w:rsidR="00D94CA6" w:rsidRPr="00D94CA6" w:rsidRDefault="00D94CA6" w:rsidP="00D94CA6"/>
        </w:tc>
        <w:tc>
          <w:tcPr>
            <w:tcW w:w="883" w:type="pct"/>
            <w:shd w:val="clear" w:color="auto" w:fill="auto"/>
          </w:tcPr>
          <w:p w:rsidR="00D94CA6" w:rsidRPr="00D94CA6" w:rsidRDefault="00D94CA6" w:rsidP="00D94CA6">
            <w:r w:rsidRPr="00D94CA6">
              <w:t>неэффективные расходы бюджетных средств</w:t>
            </w:r>
          </w:p>
          <w:p w:rsidR="00D94CA6" w:rsidRPr="00D94CA6" w:rsidRDefault="00D94CA6" w:rsidP="00D94CA6"/>
          <w:p w:rsidR="00D94CA6" w:rsidRPr="00D94CA6" w:rsidRDefault="00D94CA6" w:rsidP="00D94CA6">
            <w:r w:rsidRPr="00D94CA6">
              <w:t>незаконные расходы бюджетных средств</w:t>
            </w:r>
          </w:p>
        </w:tc>
        <w:tc>
          <w:tcPr>
            <w:tcW w:w="706" w:type="pct"/>
            <w:shd w:val="clear" w:color="auto" w:fill="auto"/>
          </w:tcPr>
          <w:p w:rsidR="00D94CA6" w:rsidRPr="00D94CA6" w:rsidRDefault="00D94CA6" w:rsidP="00D94CA6">
            <w:r w:rsidRPr="00D94CA6">
              <w:t>сумма средств, использованных неэффективно</w:t>
            </w:r>
          </w:p>
          <w:p w:rsidR="00D94CA6" w:rsidRPr="00D94CA6" w:rsidRDefault="00D94CA6" w:rsidP="00D94CA6"/>
          <w:p w:rsidR="00D94CA6" w:rsidRPr="00D94CA6" w:rsidRDefault="00D94CA6" w:rsidP="00D94CA6"/>
          <w:p w:rsidR="00D94CA6" w:rsidRPr="00D94CA6" w:rsidRDefault="00D94CA6" w:rsidP="00D94CA6">
            <w:r w:rsidRPr="00D94CA6">
              <w:t>сумма средств, использованных незаконно</w:t>
            </w:r>
          </w:p>
        </w:tc>
      </w:tr>
    </w:tbl>
    <w:p w:rsidR="00D94CA6" w:rsidRPr="00D94CA6" w:rsidRDefault="00D94CA6" w:rsidP="00D94CA6">
      <w:pPr>
        <w:ind w:firstLine="709"/>
        <w:jc w:val="both"/>
        <w:rPr>
          <w:sz w:val="12"/>
          <w:szCs w:val="12"/>
        </w:rPr>
      </w:pPr>
    </w:p>
    <w:p w:rsidR="00D94CA6" w:rsidRPr="00D94CA6" w:rsidRDefault="00D94CA6" w:rsidP="00D94CA6">
      <w:pPr>
        <w:ind w:firstLine="709"/>
        <w:jc w:val="both"/>
        <w:rPr>
          <w:sz w:val="26"/>
          <w:szCs w:val="26"/>
        </w:rPr>
      </w:pPr>
      <w:r w:rsidRPr="00D94CA6">
        <w:rPr>
          <w:sz w:val="26"/>
          <w:szCs w:val="26"/>
        </w:rPr>
        <w:t>б) дополнить Классификатор новым пунктом 1.2.75.Б следующего содержания:</w:t>
      </w:r>
    </w:p>
    <w:p w:rsidR="00D94CA6" w:rsidRPr="00D94CA6" w:rsidRDefault="00D94CA6" w:rsidP="00D94CA6">
      <w:pPr>
        <w:ind w:firstLine="709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1837"/>
        <w:gridCol w:w="1200"/>
        <w:gridCol w:w="849"/>
        <w:gridCol w:w="974"/>
        <w:gridCol w:w="884"/>
        <w:gridCol w:w="1773"/>
        <w:gridCol w:w="1325"/>
      </w:tblGrid>
      <w:tr w:rsidR="00D94CA6" w:rsidRPr="00D94CA6" w:rsidTr="00ED1D5E">
        <w:tc>
          <w:tcPr>
            <w:tcW w:w="461" w:type="pct"/>
            <w:shd w:val="clear" w:color="auto" w:fill="auto"/>
          </w:tcPr>
          <w:p w:rsidR="00D94CA6" w:rsidRPr="00D94CA6" w:rsidRDefault="00D94CA6" w:rsidP="00D94CA6">
            <w:r w:rsidRPr="00D94CA6">
              <w:t>1.2.75Б</w:t>
            </w:r>
          </w:p>
        </w:tc>
        <w:tc>
          <w:tcPr>
            <w:tcW w:w="943" w:type="pct"/>
            <w:shd w:val="clear" w:color="auto" w:fill="auto"/>
          </w:tcPr>
          <w:p w:rsidR="00D94CA6" w:rsidRPr="00D94CA6" w:rsidRDefault="00D94CA6" w:rsidP="00D94CA6">
            <w:r w:rsidRPr="00D94CA6">
              <w:t>Нарушения при расходовании средств территориального фонда обязательного медицинского страхования медицинскими организациями любой формы собственности</w:t>
            </w:r>
          </w:p>
        </w:tc>
        <w:tc>
          <w:tcPr>
            <w:tcW w:w="616" w:type="pct"/>
            <w:shd w:val="clear" w:color="auto" w:fill="auto"/>
          </w:tcPr>
          <w:p w:rsidR="00D94CA6" w:rsidRPr="00D94CA6" w:rsidRDefault="00D94CA6" w:rsidP="00D94CA6">
            <w:r w:rsidRPr="00D94CA6">
              <w:t xml:space="preserve">Ст. 34 БК РФ, </w:t>
            </w:r>
            <w:r w:rsidRPr="00D94CA6">
              <w:rPr>
                <w:spacing w:val="-6"/>
              </w:rPr>
              <w:t>ФЗ от 29.11.2010 № 326-ФЗ</w:t>
            </w:r>
          </w:p>
        </w:tc>
        <w:tc>
          <w:tcPr>
            <w:tcW w:w="436" w:type="pct"/>
            <w:shd w:val="clear" w:color="auto" w:fill="auto"/>
          </w:tcPr>
          <w:p w:rsidR="00D94CA6" w:rsidRPr="00D94CA6" w:rsidRDefault="00D94CA6" w:rsidP="00D94CA6">
            <w:r w:rsidRPr="00D94CA6">
              <w:t>Кол-во, кол-во и тыс. рублей</w:t>
            </w:r>
          </w:p>
        </w:tc>
        <w:tc>
          <w:tcPr>
            <w:tcW w:w="500" w:type="pct"/>
            <w:shd w:val="clear" w:color="auto" w:fill="auto"/>
          </w:tcPr>
          <w:p w:rsidR="00D94CA6" w:rsidRPr="00D94CA6" w:rsidRDefault="00D94CA6" w:rsidP="00D94CA6">
            <w:pPr>
              <w:jc w:val="center"/>
            </w:pPr>
            <w:r w:rsidRPr="00D94CA6">
              <w:t>1</w:t>
            </w:r>
          </w:p>
        </w:tc>
        <w:tc>
          <w:tcPr>
            <w:tcW w:w="454" w:type="pct"/>
            <w:shd w:val="clear" w:color="auto" w:fill="auto"/>
          </w:tcPr>
          <w:p w:rsidR="00D94CA6" w:rsidRPr="00D94CA6" w:rsidRDefault="00D94CA6" w:rsidP="00D94CA6"/>
        </w:tc>
        <w:tc>
          <w:tcPr>
            <w:tcW w:w="910" w:type="pct"/>
            <w:shd w:val="clear" w:color="auto" w:fill="auto"/>
          </w:tcPr>
          <w:p w:rsidR="00D94CA6" w:rsidRPr="00D94CA6" w:rsidRDefault="00D94CA6" w:rsidP="00D94CA6">
            <w:r w:rsidRPr="00D94CA6">
              <w:t>неэффективные расходы бюджетных средств</w:t>
            </w:r>
          </w:p>
          <w:p w:rsidR="00D94CA6" w:rsidRPr="00D94CA6" w:rsidRDefault="00D94CA6" w:rsidP="00D94CA6"/>
          <w:p w:rsidR="00D94CA6" w:rsidRPr="00D94CA6" w:rsidRDefault="00D94CA6" w:rsidP="00D94CA6"/>
          <w:p w:rsidR="00D94CA6" w:rsidRPr="00D94CA6" w:rsidRDefault="00D94CA6" w:rsidP="00D94CA6">
            <w:r w:rsidRPr="00D94CA6">
              <w:t>незаконные расходы бюджетных средств</w:t>
            </w:r>
          </w:p>
        </w:tc>
        <w:tc>
          <w:tcPr>
            <w:tcW w:w="680" w:type="pct"/>
            <w:shd w:val="clear" w:color="auto" w:fill="auto"/>
          </w:tcPr>
          <w:p w:rsidR="00D94CA6" w:rsidRPr="00D94CA6" w:rsidRDefault="00D94CA6" w:rsidP="00D94CA6">
            <w:r w:rsidRPr="00D94CA6">
              <w:t>сумма средств, использованных неэффективно</w:t>
            </w:r>
          </w:p>
          <w:p w:rsidR="00D94CA6" w:rsidRPr="00D94CA6" w:rsidRDefault="00D94CA6" w:rsidP="00D94CA6"/>
          <w:p w:rsidR="00D94CA6" w:rsidRPr="00D94CA6" w:rsidRDefault="00D94CA6" w:rsidP="00D94CA6">
            <w:r w:rsidRPr="00D94CA6">
              <w:t>сумма средств, использованных незаконно</w:t>
            </w:r>
          </w:p>
        </w:tc>
      </w:tr>
    </w:tbl>
    <w:p w:rsidR="00D94CA6" w:rsidRPr="00D94CA6" w:rsidRDefault="00D94CA6" w:rsidP="00D94CA6">
      <w:pPr>
        <w:widowControl w:val="0"/>
        <w:ind w:right="142" w:firstLine="709"/>
        <w:jc w:val="both"/>
        <w:rPr>
          <w:sz w:val="26"/>
          <w:szCs w:val="26"/>
        </w:rPr>
      </w:pPr>
    </w:p>
    <w:p w:rsidR="00061594" w:rsidRDefault="00D94CA6" w:rsidP="00D94CA6">
      <w:pPr>
        <w:tabs>
          <w:tab w:val="left" w:pos="5490"/>
        </w:tabs>
        <w:ind w:firstLine="720"/>
        <w:jc w:val="both"/>
        <w:rPr>
          <w:sz w:val="26"/>
          <w:szCs w:val="26"/>
        </w:rPr>
      </w:pPr>
      <w:r w:rsidRPr="00D94CA6">
        <w:rPr>
          <w:sz w:val="26"/>
          <w:szCs w:val="26"/>
        </w:rPr>
        <w:t>2. Контроль за исполнением настоящего решения коллегии возложить на заместителя председателя Палаты Александрову Л.И.</w:t>
      </w:r>
    </w:p>
    <w:p w:rsidR="00061594" w:rsidRDefault="00061594" w:rsidP="00061594">
      <w:pPr>
        <w:tabs>
          <w:tab w:val="left" w:pos="5490"/>
        </w:tabs>
        <w:ind w:firstLine="720"/>
        <w:jc w:val="both"/>
        <w:rPr>
          <w:b/>
        </w:rPr>
      </w:pPr>
    </w:p>
    <w:p w:rsidR="00CA50B1" w:rsidRDefault="00CA50B1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CA50B1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742B">
      <w:rPr>
        <w:rStyle w:val="a6"/>
        <w:noProof/>
      </w:rPr>
      <w:t>5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6B5BCF"/>
    <w:multiLevelType w:val="hybridMultilevel"/>
    <w:tmpl w:val="853A6988"/>
    <w:lvl w:ilvl="0" w:tplc="70CCBA3C">
      <w:start w:val="1"/>
      <w:numFmt w:val="decimal"/>
      <w:lvlText w:val="%1."/>
      <w:lvlJc w:val="center"/>
      <w:pPr>
        <w:ind w:left="1287" w:hanging="360"/>
      </w:pPr>
      <w:rPr>
        <w:rFonts w:ascii="13" w:hAnsi="13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25B37D7"/>
    <w:multiLevelType w:val="hybridMultilevel"/>
    <w:tmpl w:val="0DE08E76"/>
    <w:lvl w:ilvl="0" w:tplc="E76804E4">
      <w:start w:val="1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3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2"/>
  </w:num>
  <w:num w:numId="4">
    <w:abstractNumId w:val="43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2"/>
  </w:num>
  <w:num w:numId="11">
    <w:abstractNumId w:val="3"/>
  </w:num>
  <w:num w:numId="12">
    <w:abstractNumId w:val="1"/>
  </w:num>
  <w:num w:numId="13">
    <w:abstractNumId w:val="41"/>
  </w:num>
  <w:num w:numId="14">
    <w:abstractNumId w:val="12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35"/>
  </w:num>
  <w:num w:numId="19">
    <w:abstractNumId w:val="24"/>
  </w:num>
  <w:num w:numId="20">
    <w:abstractNumId w:val="18"/>
  </w:num>
  <w:num w:numId="21">
    <w:abstractNumId w:val="29"/>
  </w:num>
  <w:num w:numId="22">
    <w:abstractNumId w:val="20"/>
  </w:num>
  <w:num w:numId="23">
    <w:abstractNumId w:val="45"/>
  </w:num>
  <w:num w:numId="24">
    <w:abstractNumId w:val="21"/>
  </w:num>
  <w:num w:numId="25">
    <w:abstractNumId w:val="44"/>
  </w:num>
  <w:num w:numId="26">
    <w:abstractNumId w:val="16"/>
  </w:num>
  <w:num w:numId="27">
    <w:abstractNumId w:val="22"/>
  </w:num>
  <w:num w:numId="28">
    <w:abstractNumId w:val="34"/>
  </w:num>
  <w:num w:numId="29">
    <w:abstractNumId w:val="19"/>
  </w:num>
  <w:num w:numId="30">
    <w:abstractNumId w:val="10"/>
  </w:num>
  <w:num w:numId="31">
    <w:abstractNumId w:val="28"/>
  </w:num>
  <w:num w:numId="32">
    <w:abstractNumId w:val="39"/>
  </w:num>
  <w:num w:numId="33">
    <w:abstractNumId w:val="25"/>
  </w:num>
  <w:num w:numId="34">
    <w:abstractNumId w:val="14"/>
  </w:num>
  <w:num w:numId="35">
    <w:abstractNumId w:val="2"/>
  </w:num>
  <w:num w:numId="36">
    <w:abstractNumId w:val="40"/>
  </w:num>
  <w:num w:numId="37">
    <w:abstractNumId w:val="38"/>
  </w:num>
  <w:num w:numId="38">
    <w:abstractNumId w:val="4"/>
  </w:num>
  <w:num w:numId="39">
    <w:abstractNumId w:val="15"/>
  </w:num>
  <w:num w:numId="40">
    <w:abstractNumId w:val="9"/>
  </w:num>
  <w:num w:numId="41">
    <w:abstractNumId w:val="31"/>
  </w:num>
  <w:num w:numId="42">
    <w:abstractNumId w:val="6"/>
  </w:num>
  <w:num w:numId="43">
    <w:abstractNumId w:val="37"/>
  </w:num>
  <w:num w:numId="44">
    <w:abstractNumId w:val="30"/>
  </w:num>
  <w:num w:numId="45">
    <w:abstractNumId w:val="23"/>
  </w:num>
  <w:num w:numId="46">
    <w:abstractNumId w:val="1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1108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1594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DD7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34D6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296A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13F8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481"/>
    <w:rsid w:val="001F0662"/>
    <w:rsid w:val="001F0AFC"/>
    <w:rsid w:val="001F4EB0"/>
    <w:rsid w:val="001F5040"/>
    <w:rsid w:val="001F5A75"/>
    <w:rsid w:val="001F5C8A"/>
    <w:rsid w:val="001F5D56"/>
    <w:rsid w:val="001F7E40"/>
    <w:rsid w:val="002011EB"/>
    <w:rsid w:val="0020125B"/>
    <w:rsid w:val="00201462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5250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87F89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785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2700"/>
    <w:rsid w:val="003433BD"/>
    <w:rsid w:val="00344A95"/>
    <w:rsid w:val="00346739"/>
    <w:rsid w:val="0034796A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3C9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3852"/>
    <w:rsid w:val="003F549B"/>
    <w:rsid w:val="003F71DB"/>
    <w:rsid w:val="003F783B"/>
    <w:rsid w:val="00400B74"/>
    <w:rsid w:val="00400E97"/>
    <w:rsid w:val="00401DF7"/>
    <w:rsid w:val="00403288"/>
    <w:rsid w:val="004032BE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3701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2619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0D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55D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324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6CF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4C6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684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42B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B6D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1FE6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6877"/>
    <w:rsid w:val="00847796"/>
    <w:rsid w:val="0085123A"/>
    <w:rsid w:val="00851AE9"/>
    <w:rsid w:val="008529F4"/>
    <w:rsid w:val="00854E39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17E9"/>
    <w:rsid w:val="008E215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1F4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4BA1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0DDB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6F6A"/>
    <w:rsid w:val="00B0796F"/>
    <w:rsid w:val="00B07D1A"/>
    <w:rsid w:val="00B104E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2FEB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3673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02AD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A4A"/>
    <w:rsid w:val="00CA4F33"/>
    <w:rsid w:val="00CA50B1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4CA6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16EC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276E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9CBE-DCC4-4C8D-9153-39C6F3E4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532</cp:revision>
  <cp:lastPrinted>2023-12-22T07:10:00Z</cp:lastPrinted>
  <dcterms:created xsi:type="dcterms:W3CDTF">2017-08-29T08:56:00Z</dcterms:created>
  <dcterms:modified xsi:type="dcterms:W3CDTF">2023-12-25T12:24:00Z</dcterms:modified>
</cp:coreProperties>
</file>