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  <w:r w:rsidRPr="0066239F">
        <w:rPr>
          <w:sz w:val="28"/>
          <w:szCs w:val="28"/>
        </w:rPr>
        <w:t>Утверждены приказом</w:t>
      </w: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  <w:r w:rsidRPr="0066239F">
        <w:rPr>
          <w:sz w:val="28"/>
          <w:szCs w:val="28"/>
        </w:rPr>
        <w:t>Контрольно-счетной</w:t>
      </w: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  <w:r w:rsidRPr="0066239F">
        <w:rPr>
          <w:sz w:val="28"/>
          <w:szCs w:val="28"/>
        </w:rPr>
        <w:t>палаты Калужской области</w:t>
      </w: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  <w:r w:rsidRPr="0066239F">
        <w:rPr>
          <w:sz w:val="28"/>
          <w:szCs w:val="28"/>
        </w:rPr>
        <w:t xml:space="preserve">от </w:t>
      </w:r>
      <w:r w:rsidR="007D517C">
        <w:rPr>
          <w:sz w:val="28"/>
          <w:szCs w:val="28"/>
        </w:rPr>
        <w:t>30.12.2022</w:t>
      </w:r>
      <w:r w:rsidRPr="0066239F">
        <w:rPr>
          <w:rFonts w:hint="eastAsia"/>
          <w:sz w:val="28"/>
          <w:szCs w:val="28"/>
        </w:rPr>
        <w:t xml:space="preserve"> № </w:t>
      </w:r>
      <w:r w:rsidR="0085259E">
        <w:rPr>
          <w:sz w:val="28"/>
          <w:szCs w:val="28"/>
        </w:rPr>
        <w:t>64</w:t>
      </w:r>
      <w:bookmarkStart w:id="0" w:name="_GoBack"/>
      <w:bookmarkEnd w:id="0"/>
      <w:r w:rsidR="007D517C">
        <w:rPr>
          <w:sz w:val="28"/>
          <w:szCs w:val="28"/>
        </w:rPr>
        <w:t>-А</w:t>
      </w: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b/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2"/>
        <w:spacing w:line="276" w:lineRule="auto"/>
        <w:ind w:firstLine="0"/>
        <w:rPr>
          <w:szCs w:val="28"/>
        </w:rPr>
      </w:pPr>
      <w:r w:rsidRPr="0066239F">
        <w:rPr>
          <w:rFonts w:eastAsia="Calibri"/>
          <w:color w:val="00000A"/>
          <w:szCs w:val="28"/>
        </w:rPr>
        <w:t>Методические указания по исследованию (оценке) бюджетной и налоговой устойчивости Калужской области</w:t>
      </w: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6239F">
        <w:rPr>
          <w:sz w:val="28"/>
          <w:szCs w:val="28"/>
        </w:rPr>
        <w:t>(одобрены решением коллегии Контрольно-сч</w:t>
      </w:r>
      <w:r w:rsidR="00B35EA9">
        <w:rPr>
          <w:sz w:val="28"/>
          <w:szCs w:val="28"/>
        </w:rPr>
        <w:t>ё</w:t>
      </w:r>
      <w:r w:rsidRPr="0066239F">
        <w:rPr>
          <w:sz w:val="28"/>
          <w:szCs w:val="28"/>
        </w:rPr>
        <w:t xml:space="preserve">тной палаты </w:t>
      </w:r>
    </w:p>
    <w:p w:rsidR="0066239F" w:rsidRPr="0066239F" w:rsidRDefault="0066239F" w:rsidP="007D517C">
      <w:pPr>
        <w:pStyle w:val="11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</w:rPr>
      </w:pPr>
      <w:r w:rsidRPr="0066239F">
        <w:rPr>
          <w:sz w:val="28"/>
          <w:szCs w:val="28"/>
        </w:rPr>
        <w:t>Калужской области протокол от</w:t>
      </w:r>
      <w:r w:rsidRPr="0066239F">
        <w:rPr>
          <w:rStyle w:val="Bodytext145pt"/>
          <w:sz w:val="28"/>
          <w:szCs w:val="28"/>
        </w:rPr>
        <w:t xml:space="preserve"> </w:t>
      </w:r>
      <w:r w:rsidR="00B35EA9">
        <w:rPr>
          <w:rStyle w:val="Bodytext145pt"/>
          <w:sz w:val="28"/>
          <w:szCs w:val="28"/>
        </w:rPr>
        <w:t>29.12.2022</w:t>
      </w:r>
      <w:r w:rsidRPr="0066239F">
        <w:rPr>
          <w:sz w:val="28"/>
          <w:szCs w:val="28"/>
        </w:rPr>
        <w:t xml:space="preserve"> №</w:t>
      </w:r>
      <w:r w:rsidRPr="0066239F">
        <w:rPr>
          <w:rStyle w:val="Bodytext145pt"/>
          <w:sz w:val="28"/>
          <w:szCs w:val="28"/>
        </w:rPr>
        <w:t> </w:t>
      </w:r>
      <w:r w:rsidR="00B35EA9">
        <w:rPr>
          <w:rStyle w:val="Bodytext145pt"/>
          <w:sz w:val="28"/>
          <w:szCs w:val="28"/>
        </w:rPr>
        <w:t>33 (</w:t>
      </w:r>
      <w:r w:rsidR="007D517C">
        <w:rPr>
          <w:rStyle w:val="Bodytext145pt"/>
          <w:sz w:val="28"/>
          <w:szCs w:val="28"/>
        </w:rPr>
        <w:t>5</w:t>
      </w:r>
      <w:r w:rsidR="00B35EA9">
        <w:rPr>
          <w:rStyle w:val="Bodytext145pt"/>
          <w:sz w:val="28"/>
          <w:szCs w:val="28"/>
        </w:rPr>
        <w:t>))</w:t>
      </w: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  <w:highlight w:val="yellow"/>
        </w:rPr>
      </w:pPr>
    </w:p>
    <w:p w:rsid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  <w:highlight w:val="yellow"/>
        </w:rPr>
      </w:pPr>
    </w:p>
    <w:p w:rsid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9C3EF6" w:rsidRDefault="009C3EF6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9C3EF6" w:rsidRDefault="009C3EF6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9C3EF6" w:rsidRPr="0066239F" w:rsidRDefault="009C3EF6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66239F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66239F" w:rsidRPr="0003353A" w:rsidRDefault="0066239F" w:rsidP="0066239F">
      <w:pPr>
        <w:pStyle w:val="11"/>
        <w:shd w:val="clear" w:color="auto" w:fill="auto"/>
        <w:spacing w:before="0" w:after="0" w:line="240" w:lineRule="auto"/>
        <w:ind w:firstLine="0"/>
        <w:rPr>
          <w:highlight w:val="yellow"/>
        </w:rPr>
      </w:pPr>
      <w:r w:rsidRPr="0066239F">
        <w:rPr>
          <w:sz w:val="28"/>
          <w:szCs w:val="28"/>
        </w:rPr>
        <w:t>КАЛУГА</w:t>
      </w:r>
      <w:r w:rsidRPr="0066239F">
        <w:rPr>
          <w:sz w:val="28"/>
          <w:szCs w:val="28"/>
        </w:rPr>
        <w:br/>
      </w:r>
      <w:r w:rsidRPr="0066239F">
        <w:rPr>
          <w:rStyle w:val="Bodytext145pt"/>
          <w:sz w:val="28"/>
          <w:szCs w:val="28"/>
        </w:rPr>
        <w:t>2022</w:t>
      </w:r>
      <w:r w:rsidRPr="0003353A">
        <w:rPr>
          <w:highlight w:val="yellow"/>
        </w:rPr>
        <w:br w:type="page"/>
      </w:r>
    </w:p>
    <w:p w:rsidR="00CB7899" w:rsidRPr="0066239F" w:rsidRDefault="00CB7899" w:rsidP="00CB7899">
      <w:pPr>
        <w:tabs>
          <w:tab w:val="left" w:pos="2719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6239F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Содержание</w:t>
      </w:r>
    </w:p>
    <w:sdt>
      <w:sdtPr>
        <w:id w:val="1617407533"/>
        <w:docPartObj>
          <w:docPartGallery w:val="Table of Contents"/>
          <w:docPartUnique/>
        </w:docPartObj>
      </w:sdtPr>
      <w:sdtEndPr>
        <w:rPr>
          <w:rStyle w:val="ab"/>
          <w:rFonts w:eastAsia="Times New Roman"/>
          <w:noProof/>
          <w:color w:val="0563C1" w:themeColor="hyperlink"/>
          <w:u w:val="single"/>
          <w:lang w:eastAsia="ru-RU"/>
        </w:rPr>
      </w:sdtEndPr>
      <w:sdtContent>
        <w:p w:rsidR="00700B4A" w:rsidRPr="00EE57A9" w:rsidRDefault="00700B4A" w:rsidP="005924BF">
          <w:pPr>
            <w:pStyle w:val="13"/>
            <w:rPr>
              <w:rStyle w:val="ab"/>
              <w:rFonts w:ascii="Times New Roman" w:eastAsia="Times New Roman" w:hAnsi="Times New Roman" w:cs="Times New Roman"/>
              <w:bCs/>
              <w:noProof/>
              <w:color w:val="auto"/>
              <w:sz w:val="28"/>
              <w:szCs w:val="28"/>
              <w:lang w:eastAsia="ru-RU"/>
            </w:rPr>
          </w:pPr>
          <w:r w:rsidRPr="006A2EF6">
            <w:rPr>
              <w:rStyle w:val="ab"/>
              <w:rFonts w:eastAsia="Times New Roman"/>
              <w:bCs/>
              <w:noProof/>
              <w:color w:val="auto"/>
              <w:lang w:eastAsia="ru-RU"/>
            </w:rPr>
            <w:fldChar w:fldCharType="begin"/>
          </w:r>
          <w:r w:rsidRPr="006A2EF6">
            <w:rPr>
              <w:rStyle w:val="ab"/>
              <w:rFonts w:eastAsia="Times New Roman"/>
              <w:bCs/>
              <w:noProof/>
              <w:color w:val="auto"/>
              <w:lang w:eastAsia="ru-RU"/>
            </w:rPr>
            <w:instrText xml:space="preserve"> TOC \o "1-3" \h \z \u </w:instrText>
          </w:r>
          <w:r w:rsidRPr="006A2EF6">
            <w:rPr>
              <w:rStyle w:val="ab"/>
              <w:rFonts w:eastAsia="Times New Roman"/>
              <w:bCs/>
              <w:noProof/>
              <w:color w:val="auto"/>
              <w:lang w:eastAsia="ru-RU"/>
            </w:rPr>
            <w:fldChar w:fldCharType="separate"/>
          </w:r>
          <w:hyperlink w:anchor="_Toc123031393" w:history="1">
            <w:r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1. Общие положения и определения</w:t>
            </w:r>
            <w:r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tab/>
            </w:r>
            <w:r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begin"/>
            </w:r>
            <w:r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instrText xml:space="preserve"> PAGEREF _Toc123031393 \h </w:instrText>
            </w:r>
            <w:r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</w:r>
            <w:r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separate"/>
            </w:r>
            <w:r w:rsidR="005924BF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t>3</w:t>
            </w:r>
            <w:r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end"/>
            </w:r>
          </w:hyperlink>
        </w:p>
        <w:p w:rsidR="00700B4A" w:rsidRPr="00EE57A9" w:rsidRDefault="0085259E" w:rsidP="005924BF">
          <w:pPr>
            <w:pStyle w:val="13"/>
            <w:rPr>
              <w:rStyle w:val="ab"/>
              <w:rFonts w:ascii="Times New Roman" w:eastAsia="Times New Roman" w:hAnsi="Times New Roman" w:cs="Times New Roman"/>
              <w:bCs/>
              <w:noProof/>
              <w:color w:val="auto"/>
              <w:sz w:val="28"/>
              <w:szCs w:val="28"/>
              <w:lang w:eastAsia="ru-RU"/>
            </w:rPr>
          </w:pPr>
          <w:hyperlink w:anchor="_Toc123031394" w:history="1"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 xml:space="preserve">2. Содержание мероприятий по </w:t>
            </w:r>
            <w:r w:rsidR="009E4F18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исследованию (</w: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оценке</w:t>
            </w:r>
            <w:r w:rsidR="009E4F18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)</w: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 xml:space="preserve"> бюджетной и налоговой устойчивости региона</w: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tab/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begin"/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instrText xml:space="preserve"> PAGEREF _Toc123031394 \h </w:instrTex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separate"/>
            </w:r>
            <w:r w:rsidR="005924BF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t>3</w: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end"/>
            </w:r>
          </w:hyperlink>
        </w:p>
        <w:p w:rsidR="00700B4A" w:rsidRPr="00EE57A9" w:rsidRDefault="0085259E" w:rsidP="005924BF">
          <w:pPr>
            <w:pStyle w:val="13"/>
            <w:rPr>
              <w:rStyle w:val="ab"/>
              <w:rFonts w:ascii="Times New Roman" w:eastAsia="Times New Roman" w:hAnsi="Times New Roman" w:cs="Times New Roman"/>
              <w:bCs/>
              <w:noProof/>
              <w:color w:val="auto"/>
              <w:sz w:val="28"/>
              <w:szCs w:val="28"/>
              <w:lang w:eastAsia="ru-RU"/>
            </w:rPr>
          </w:pPr>
          <w:hyperlink w:anchor="_Toc123031395" w:history="1"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 xml:space="preserve">3. Порядок проведения </w:t>
            </w:r>
            <w:r w:rsidR="006A2EF6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исследования (</w: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оценки</w:t>
            </w:r>
            <w:r w:rsidR="006A2EF6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)</w: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 xml:space="preserve"> бюджетной устойчивости</w: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tab/>
            </w:r>
            <w:r w:rsidR="009E4F18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t>3</w:t>
            </w:r>
          </w:hyperlink>
        </w:p>
        <w:p w:rsidR="00700B4A" w:rsidRPr="00EE57A9" w:rsidRDefault="0085259E" w:rsidP="005924BF">
          <w:pPr>
            <w:pStyle w:val="13"/>
            <w:rPr>
              <w:rStyle w:val="ab"/>
              <w:rFonts w:ascii="Times New Roman" w:eastAsia="Times New Roman" w:hAnsi="Times New Roman" w:cs="Times New Roman"/>
              <w:bCs/>
              <w:noProof/>
              <w:color w:val="auto"/>
              <w:sz w:val="28"/>
              <w:szCs w:val="28"/>
              <w:lang w:eastAsia="ru-RU"/>
            </w:rPr>
          </w:pPr>
          <w:hyperlink w:anchor="_Toc123031396" w:history="1"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4. Порядок оформления результатов проведения экспертно-аналитического мероприятия</w: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tab/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begin"/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instrText xml:space="preserve"> PAGEREF _Toc123031396 \h </w:instrTex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separate"/>
            </w:r>
            <w:r w:rsidR="005924BF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t>6</w: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end"/>
            </w:r>
          </w:hyperlink>
        </w:p>
        <w:p w:rsidR="00700B4A" w:rsidRPr="006A2EF6" w:rsidRDefault="0085259E" w:rsidP="005924BF">
          <w:pPr>
            <w:pStyle w:val="13"/>
            <w:rPr>
              <w:rStyle w:val="ab"/>
              <w:rFonts w:eastAsia="Times New Roman"/>
              <w:bCs/>
              <w:noProof/>
              <w:color w:val="auto"/>
              <w:lang w:eastAsia="ru-RU"/>
            </w:rPr>
          </w:pPr>
          <w:hyperlink w:anchor="_Toc123031397" w:history="1"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5. Актуализация методических указаний</w: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tab/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begin"/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instrText xml:space="preserve"> PAGEREF _Toc123031397 \h </w:instrTex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separate"/>
            </w:r>
            <w:r w:rsidR="005924BF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t>6</w:t>
            </w:r>
            <w:r w:rsidR="00700B4A" w:rsidRPr="00EE57A9">
              <w:rPr>
                <w:rStyle w:val="ab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  <w:lang w:eastAsia="ru-RU"/>
              </w:rPr>
              <w:fldChar w:fldCharType="end"/>
            </w:r>
          </w:hyperlink>
        </w:p>
        <w:p w:rsidR="00700B4A" w:rsidRPr="006A2EF6" w:rsidRDefault="00700B4A" w:rsidP="005924BF">
          <w:pPr>
            <w:pStyle w:val="13"/>
            <w:rPr>
              <w:rStyle w:val="ab"/>
              <w:rFonts w:eastAsia="Times New Roman"/>
              <w:bCs/>
              <w:noProof/>
              <w:color w:val="auto"/>
              <w:lang w:eastAsia="ru-RU"/>
            </w:rPr>
          </w:pPr>
          <w:r w:rsidRPr="006A2EF6">
            <w:rPr>
              <w:rStyle w:val="ab"/>
              <w:rFonts w:eastAsia="Times New Roman"/>
              <w:noProof/>
              <w:color w:val="auto"/>
              <w:lang w:eastAsia="ru-RU"/>
            </w:rPr>
            <w:fldChar w:fldCharType="end"/>
          </w:r>
        </w:p>
      </w:sdtContent>
    </w:sdt>
    <w:p w:rsidR="00CB7899" w:rsidRPr="006A2EF6" w:rsidRDefault="00CB7899" w:rsidP="00CB7899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A2EF6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CB7899" w:rsidRDefault="00CB7899" w:rsidP="000B48C3">
      <w:pPr>
        <w:pStyle w:val="1"/>
        <w:jc w:val="center"/>
        <w:rPr>
          <w:rFonts w:ascii="Times New Roman" w:eastAsia="Calibri" w:hAnsi="Times New Roman" w:cs="Times New Roman"/>
          <w:b w:val="0"/>
          <w:color w:val="00000A"/>
        </w:rPr>
      </w:pPr>
      <w:bookmarkStart w:id="1" w:name="_Toc123031393"/>
      <w:r w:rsidRPr="0066239F">
        <w:rPr>
          <w:rFonts w:ascii="Times New Roman" w:eastAsia="Calibri" w:hAnsi="Times New Roman" w:cs="Times New Roman"/>
          <w:color w:val="00000A"/>
        </w:rPr>
        <w:lastRenderedPageBreak/>
        <w:t>1.</w:t>
      </w:r>
      <w:r w:rsidR="00F1129E">
        <w:rPr>
          <w:rFonts w:ascii="Times New Roman" w:eastAsia="Calibri" w:hAnsi="Times New Roman" w:cs="Times New Roman"/>
          <w:color w:val="00000A"/>
        </w:rPr>
        <w:t> </w:t>
      </w:r>
      <w:r w:rsidRPr="0066239F">
        <w:rPr>
          <w:rFonts w:ascii="Times New Roman" w:eastAsia="Calibri" w:hAnsi="Times New Roman" w:cs="Times New Roman"/>
          <w:color w:val="00000A"/>
        </w:rPr>
        <w:t>Общие положения</w:t>
      </w:r>
      <w:r w:rsidR="00F1129E">
        <w:rPr>
          <w:rFonts w:ascii="Times New Roman" w:eastAsia="Calibri" w:hAnsi="Times New Roman" w:cs="Times New Roman"/>
          <w:color w:val="00000A"/>
        </w:rPr>
        <w:t xml:space="preserve"> и определения</w:t>
      </w:r>
      <w:bookmarkEnd w:id="1"/>
    </w:p>
    <w:p w:rsidR="00F1129E" w:rsidRPr="000D5AAF" w:rsidRDefault="00F1129E" w:rsidP="006623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16"/>
          <w:szCs w:val="16"/>
        </w:rPr>
      </w:pPr>
    </w:p>
    <w:p w:rsidR="0066239F" w:rsidRPr="0066239F" w:rsidRDefault="0066239F" w:rsidP="0066239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66239F">
        <w:rPr>
          <w:sz w:val="28"/>
          <w:szCs w:val="28"/>
        </w:rPr>
        <w:t xml:space="preserve">Методические указания по </w:t>
      </w:r>
      <w:r w:rsidRPr="0066239F">
        <w:rPr>
          <w:rFonts w:eastAsia="Calibri"/>
          <w:color w:val="00000A"/>
          <w:sz w:val="28"/>
          <w:szCs w:val="28"/>
        </w:rPr>
        <w:t>исследованию (оценке) бюджетной и налоговой устойчивости Калужской области</w:t>
      </w:r>
      <w:r w:rsidRPr="0066239F">
        <w:rPr>
          <w:sz w:val="28"/>
          <w:szCs w:val="28"/>
        </w:rPr>
        <w:t xml:space="preserve"> (далее</w:t>
      </w:r>
      <w:r w:rsidR="00F1129E">
        <w:rPr>
          <w:sz w:val="28"/>
          <w:szCs w:val="28"/>
        </w:rPr>
        <w:t xml:space="preserve"> </w:t>
      </w:r>
      <w:r w:rsidRPr="0066239F">
        <w:rPr>
          <w:sz w:val="28"/>
          <w:szCs w:val="28"/>
        </w:rPr>
        <w:t>– Методические указания) разработаны в целях методологического обеспечения экспертно-аналитической деятельности, осуществляемой Контрольно-счетной палатой Калужской области (далее – Контрольно-счетная палата).</w:t>
      </w:r>
    </w:p>
    <w:p w:rsidR="0066239F" w:rsidRPr="0066239F" w:rsidRDefault="0066239F" w:rsidP="0066239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66239F">
        <w:rPr>
          <w:sz w:val="28"/>
          <w:szCs w:val="28"/>
        </w:rPr>
        <w:t>Методические указания разработаны в соответствии с действующим законодательством Российской Федерации, Калужской области, локальными правовыми актами Контрольно-счётной палаты.</w:t>
      </w:r>
    </w:p>
    <w:p w:rsidR="0066239F" w:rsidRPr="0066239F" w:rsidRDefault="0066239F" w:rsidP="0066239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66239F">
        <w:rPr>
          <w:sz w:val="28"/>
          <w:szCs w:val="28"/>
        </w:rPr>
        <w:t>Методические указания разработаны для использования членами коллегии Контрольно-счетной палаты, инспекторами и иными сотрудниками аппарата Контрольно-счетной палаты при организации и проведении экспертно-аналитических мероприятий, программами которых предусмотрено исследование (оценка) бюджетной и налоговой устойчивости Калужской области.</w:t>
      </w:r>
    </w:p>
    <w:p w:rsidR="0066239F" w:rsidRPr="0066239F" w:rsidRDefault="00EE57A9" w:rsidP="0066239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(оценка)</w:t>
      </w:r>
      <w:r w:rsidR="0066239F" w:rsidRPr="0066239F">
        <w:rPr>
          <w:sz w:val="28"/>
          <w:szCs w:val="28"/>
        </w:rPr>
        <w:t xml:space="preserve"> </w:t>
      </w:r>
      <w:r w:rsidRPr="0066239F">
        <w:rPr>
          <w:sz w:val="28"/>
          <w:szCs w:val="28"/>
        </w:rPr>
        <w:t xml:space="preserve">бюджетной и налоговой устойчивости Калужской области </w:t>
      </w:r>
      <w:r w:rsidR="0066239F" w:rsidRPr="0066239F">
        <w:rPr>
          <w:sz w:val="28"/>
          <w:szCs w:val="28"/>
        </w:rPr>
        <w:t>проводится Контрольно-счетной палатой в виде самостоятельн</w:t>
      </w:r>
      <w:r w:rsidR="00F1129E">
        <w:rPr>
          <w:sz w:val="28"/>
          <w:szCs w:val="28"/>
        </w:rPr>
        <w:t>ого</w:t>
      </w:r>
      <w:r w:rsidR="0066239F" w:rsidRPr="0066239F">
        <w:rPr>
          <w:sz w:val="28"/>
          <w:szCs w:val="28"/>
        </w:rPr>
        <w:t xml:space="preserve"> отдельн</w:t>
      </w:r>
      <w:r w:rsidR="00F1129E">
        <w:rPr>
          <w:sz w:val="28"/>
          <w:szCs w:val="28"/>
        </w:rPr>
        <w:t>ого</w:t>
      </w:r>
      <w:r w:rsidR="0066239F" w:rsidRPr="0066239F">
        <w:rPr>
          <w:sz w:val="28"/>
          <w:szCs w:val="28"/>
        </w:rPr>
        <w:t xml:space="preserve"> экспертно-аналитическ</w:t>
      </w:r>
      <w:r w:rsidR="00F1129E">
        <w:rPr>
          <w:sz w:val="28"/>
          <w:szCs w:val="28"/>
        </w:rPr>
        <w:t>ого</w:t>
      </w:r>
      <w:r w:rsidR="0066239F" w:rsidRPr="0066239F">
        <w:rPr>
          <w:sz w:val="28"/>
          <w:szCs w:val="28"/>
        </w:rPr>
        <w:t xml:space="preserve"> мероприяти</w:t>
      </w:r>
      <w:r w:rsidR="00F1129E">
        <w:rPr>
          <w:sz w:val="28"/>
          <w:szCs w:val="28"/>
        </w:rPr>
        <w:t>я</w:t>
      </w:r>
      <w:r w:rsidR="0066239F" w:rsidRPr="0066239F">
        <w:rPr>
          <w:sz w:val="28"/>
          <w:szCs w:val="28"/>
        </w:rPr>
        <w:t>, включенн</w:t>
      </w:r>
      <w:r w:rsidR="00F1129E">
        <w:rPr>
          <w:sz w:val="28"/>
          <w:szCs w:val="28"/>
        </w:rPr>
        <w:t>ого</w:t>
      </w:r>
      <w:r w:rsidR="0066239F" w:rsidRPr="0066239F">
        <w:rPr>
          <w:sz w:val="28"/>
          <w:szCs w:val="28"/>
        </w:rPr>
        <w:t xml:space="preserve"> в соответствующий раздел плана работы Контрольно-счетной палаты на текущий год.</w:t>
      </w:r>
    </w:p>
    <w:p w:rsidR="001E2106" w:rsidRPr="0073514B" w:rsidRDefault="001E2106" w:rsidP="001E2106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73514B">
        <w:rPr>
          <w:sz w:val="28"/>
          <w:szCs w:val="28"/>
        </w:rPr>
        <w:t xml:space="preserve">При проведении </w:t>
      </w:r>
      <w:r w:rsidR="00EE57A9">
        <w:rPr>
          <w:sz w:val="28"/>
          <w:szCs w:val="28"/>
        </w:rPr>
        <w:t>исследования (</w:t>
      </w:r>
      <w:r w:rsidRPr="0073514B">
        <w:rPr>
          <w:sz w:val="28"/>
          <w:szCs w:val="28"/>
        </w:rPr>
        <w:t>оценки</w:t>
      </w:r>
      <w:r w:rsidR="00EE57A9">
        <w:rPr>
          <w:sz w:val="28"/>
          <w:szCs w:val="28"/>
        </w:rPr>
        <w:t>)</w:t>
      </w:r>
      <w:r w:rsidRPr="0073514B">
        <w:rPr>
          <w:sz w:val="28"/>
          <w:szCs w:val="28"/>
        </w:rPr>
        <w:t xml:space="preserve"> бюджетной и налоговой устойчивости Калужской области используется информация, содержащаяся в информационных системах, доступ к которым имеет Контрольно-счетная палата, а также информация, получаемая по запросам.</w:t>
      </w:r>
    </w:p>
    <w:p w:rsidR="00F1129E" w:rsidRPr="00F1129E" w:rsidRDefault="00F1129E" w:rsidP="00F1129E">
      <w:pPr>
        <w:pStyle w:val="11"/>
        <w:spacing w:before="0" w:after="0" w:line="240" w:lineRule="auto"/>
        <w:ind w:firstLine="0"/>
        <w:rPr>
          <w:sz w:val="16"/>
          <w:szCs w:val="16"/>
        </w:rPr>
      </w:pPr>
    </w:p>
    <w:p w:rsidR="00917B29" w:rsidRPr="0073514B" w:rsidRDefault="00917B29" w:rsidP="00917B29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firstLine="0"/>
        <w:outlineLvl w:val="0"/>
        <w:rPr>
          <w:b/>
          <w:sz w:val="28"/>
          <w:szCs w:val="28"/>
        </w:rPr>
      </w:pPr>
      <w:bookmarkStart w:id="2" w:name="_Toc117063046"/>
      <w:bookmarkStart w:id="3" w:name="_Toc121729154"/>
      <w:bookmarkStart w:id="4" w:name="_Toc123031394"/>
      <w:r w:rsidRPr="0073514B">
        <w:rPr>
          <w:b/>
          <w:sz w:val="28"/>
          <w:szCs w:val="28"/>
        </w:rPr>
        <w:t>2. Содержание мероприятий по</w:t>
      </w:r>
      <w:r w:rsidR="009E4F18">
        <w:rPr>
          <w:b/>
          <w:sz w:val="28"/>
          <w:szCs w:val="28"/>
        </w:rPr>
        <w:t xml:space="preserve"> исследованию (</w:t>
      </w:r>
      <w:r w:rsidRPr="0073514B">
        <w:rPr>
          <w:b/>
          <w:sz w:val="28"/>
          <w:szCs w:val="28"/>
        </w:rPr>
        <w:t>оценке</w:t>
      </w:r>
      <w:r w:rsidR="009E4F18">
        <w:rPr>
          <w:b/>
          <w:sz w:val="28"/>
          <w:szCs w:val="28"/>
        </w:rPr>
        <w:t>)</w:t>
      </w:r>
      <w:r w:rsidRPr="0073514B">
        <w:rPr>
          <w:b/>
          <w:sz w:val="28"/>
          <w:szCs w:val="28"/>
        </w:rPr>
        <w:t xml:space="preserve"> бюджетной и налоговой устойчивости</w:t>
      </w:r>
      <w:bookmarkEnd w:id="2"/>
      <w:bookmarkEnd w:id="3"/>
      <w:r w:rsidR="004838A9" w:rsidRPr="0073514B">
        <w:rPr>
          <w:b/>
          <w:sz w:val="28"/>
          <w:szCs w:val="28"/>
        </w:rPr>
        <w:t xml:space="preserve"> региона</w:t>
      </w:r>
      <w:bookmarkEnd w:id="4"/>
    </w:p>
    <w:p w:rsidR="00917B29" w:rsidRPr="000D5AAF" w:rsidRDefault="00917B29" w:rsidP="000D5AAF">
      <w:pPr>
        <w:pStyle w:val="11"/>
        <w:spacing w:before="0" w:after="0" w:line="240" w:lineRule="auto"/>
        <w:ind w:firstLine="0"/>
        <w:rPr>
          <w:sz w:val="16"/>
          <w:szCs w:val="16"/>
        </w:rPr>
      </w:pPr>
    </w:p>
    <w:p w:rsidR="00700B4A" w:rsidRDefault="00917B29" w:rsidP="00700B4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73514B">
        <w:rPr>
          <w:sz w:val="28"/>
          <w:szCs w:val="28"/>
        </w:rPr>
        <w:t>Подготовка организационно-распорядительных документов по проведению экспертно-аналитического мероприятия, непосредственное проведение экспертно-аналитического мероприятия и оформление результатов осуществляется в соответствии со Стандартом внешнего государственного финансового контроля СГА 102 «Порядок проведения экспертно-аналитического мероприятия».</w:t>
      </w:r>
      <w:bookmarkStart w:id="5" w:name="_Toc123031395"/>
    </w:p>
    <w:p w:rsidR="00700B4A" w:rsidRPr="00700B4A" w:rsidRDefault="00700B4A" w:rsidP="00700B4A">
      <w:pPr>
        <w:pStyle w:val="11"/>
        <w:spacing w:before="0" w:after="0" w:line="240" w:lineRule="auto"/>
        <w:ind w:firstLine="0"/>
        <w:rPr>
          <w:sz w:val="16"/>
          <w:szCs w:val="16"/>
        </w:rPr>
      </w:pPr>
    </w:p>
    <w:p w:rsidR="00917B29" w:rsidRPr="0073514B" w:rsidRDefault="00917B29" w:rsidP="000B48C3">
      <w:pPr>
        <w:pStyle w:val="11"/>
        <w:spacing w:before="0" w:after="0" w:line="240" w:lineRule="auto"/>
        <w:ind w:firstLine="0"/>
        <w:outlineLvl w:val="0"/>
        <w:rPr>
          <w:b/>
          <w:sz w:val="28"/>
          <w:szCs w:val="28"/>
        </w:rPr>
      </w:pPr>
      <w:r w:rsidRPr="0073514B">
        <w:rPr>
          <w:b/>
          <w:sz w:val="28"/>
          <w:szCs w:val="28"/>
        </w:rPr>
        <w:t xml:space="preserve">3. Порядок проведения </w:t>
      </w:r>
      <w:r w:rsidR="006A2EF6">
        <w:rPr>
          <w:b/>
          <w:sz w:val="28"/>
          <w:szCs w:val="28"/>
        </w:rPr>
        <w:t>исследования (</w:t>
      </w:r>
      <w:r w:rsidRPr="0073514B">
        <w:rPr>
          <w:b/>
          <w:sz w:val="28"/>
          <w:szCs w:val="28"/>
        </w:rPr>
        <w:t>оценки</w:t>
      </w:r>
      <w:r w:rsidR="006A2EF6">
        <w:rPr>
          <w:b/>
          <w:sz w:val="28"/>
          <w:szCs w:val="28"/>
        </w:rPr>
        <w:t>)</w:t>
      </w:r>
      <w:r w:rsidRPr="0073514B">
        <w:rPr>
          <w:b/>
          <w:sz w:val="28"/>
          <w:szCs w:val="28"/>
        </w:rPr>
        <w:t xml:space="preserve"> бюджетной устойчивости</w:t>
      </w:r>
      <w:bookmarkEnd w:id="5"/>
    </w:p>
    <w:p w:rsidR="000C6C92" w:rsidRPr="000B48C3" w:rsidRDefault="000C6C92" w:rsidP="00917B29">
      <w:pPr>
        <w:pStyle w:val="11"/>
        <w:spacing w:before="0" w:after="0" w:line="240" w:lineRule="auto"/>
        <w:ind w:firstLine="0"/>
        <w:rPr>
          <w:b/>
          <w:sz w:val="16"/>
          <w:szCs w:val="16"/>
        </w:rPr>
      </w:pPr>
    </w:p>
    <w:p w:rsidR="000C6C92" w:rsidRPr="0073514B" w:rsidRDefault="006A2EF6" w:rsidP="000C6C9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(о</w:t>
      </w:r>
      <w:r w:rsidR="000C6C92" w:rsidRPr="0073514B">
        <w:rPr>
          <w:sz w:val="28"/>
          <w:szCs w:val="28"/>
        </w:rPr>
        <w:t>ценка</w:t>
      </w:r>
      <w:r>
        <w:rPr>
          <w:sz w:val="28"/>
          <w:szCs w:val="28"/>
        </w:rPr>
        <w:t>)</w:t>
      </w:r>
      <w:r w:rsidR="000C6C92" w:rsidRPr="0073514B">
        <w:rPr>
          <w:sz w:val="28"/>
          <w:szCs w:val="28"/>
        </w:rPr>
        <w:t xml:space="preserve"> бюджетной </w:t>
      </w:r>
      <w:r w:rsidR="00FE5883" w:rsidRPr="0073514B">
        <w:rPr>
          <w:sz w:val="28"/>
          <w:szCs w:val="28"/>
        </w:rPr>
        <w:t xml:space="preserve">и налоговой устойчивости </w:t>
      </w:r>
      <w:r w:rsidR="000C6C92" w:rsidRPr="0073514B">
        <w:rPr>
          <w:sz w:val="28"/>
          <w:szCs w:val="28"/>
        </w:rPr>
        <w:t>Калужской области проводится на основании информации, содержащейся в информационных системах, а также представляемой в Контрольно-счетную палату по запросу.</w:t>
      </w:r>
    </w:p>
    <w:p w:rsidR="009D3C35" w:rsidRPr="0073514B" w:rsidRDefault="000B48C3" w:rsidP="000C6C9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Полученная информации анализируется в динамике за определенный период. </w:t>
      </w:r>
      <w:r>
        <w:rPr>
          <w:sz w:val="28"/>
          <w:szCs w:val="28"/>
        </w:rPr>
        <w:t>Анализ</w:t>
      </w:r>
      <w:r w:rsidRPr="00034FBA">
        <w:rPr>
          <w:sz w:val="28"/>
          <w:szCs w:val="28"/>
        </w:rPr>
        <w:t xml:space="preserve"> показателей может проводиться </w:t>
      </w:r>
      <w:r>
        <w:rPr>
          <w:sz w:val="28"/>
          <w:szCs w:val="28"/>
        </w:rPr>
        <w:t>с использованием следующих методов</w:t>
      </w:r>
      <w:r w:rsidRPr="00034FBA">
        <w:rPr>
          <w:sz w:val="28"/>
          <w:szCs w:val="28"/>
        </w:rPr>
        <w:t>:</w:t>
      </w:r>
    </w:p>
    <w:p w:rsidR="009D3C35" w:rsidRPr="0073514B" w:rsidRDefault="009D3C35" w:rsidP="000C6C9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0D5AAF">
        <w:rPr>
          <w:b/>
          <w:sz w:val="28"/>
          <w:szCs w:val="28"/>
        </w:rPr>
        <w:t>- горизонтальный анализ</w:t>
      </w:r>
      <w:r w:rsidRPr="0073514B">
        <w:rPr>
          <w:sz w:val="28"/>
          <w:szCs w:val="28"/>
        </w:rPr>
        <w:t xml:space="preserve"> – позволяет сравнить текущие показатели бюджета </w:t>
      </w:r>
      <w:r w:rsidR="000B48C3">
        <w:rPr>
          <w:sz w:val="28"/>
          <w:szCs w:val="28"/>
        </w:rPr>
        <w:t xml:space="preserve">с </w:t>
      </w:r>
      <w:r w:rsidRPr="0073514B">
        <w:rPr>
          <w:sz w:val="28"/>
          <w:szCs w:val="28"/>
        </w:rPr>
        <w:t>плановыми показателями, а также с показателями прошлых периодов;</w:t>
      </w:r>
    </w:p>
    <w:p w:rsidR="009D3C35" w:rsidRDefault="009D3C35" w:rsidP="000C6C9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0D5AAF">
        <w:rPr>
          <w:b/>
          <w:sz w:val="28"/>
          <w:szCs w:val="28"/>
        </w:rPr>
        <w:lastRenderedPageBreak/>
        <w:t>- вертикальный анализ</w:t>
      </w:r>
      <w:r w:rsidRPr="0073514B">
        <w:rPr>
          <w:sz w:val="28"/>
          <w:szCs w:val="28"/>
        </w:rPr>
        <w:t xml:space="preserve"> – позволяет определить структуру бюджета, долю отдельных показателей в итоговых показателях, а также их влияние на общие результаты;</w:t>
      </w:r>
    </w:p>
    <w:p w:rsidR="000B48C3" w:rsidRDefault="000B48C3" w:rsidP="000B48C3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700B4A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r w:rsidRPr="000B48C3">
        <w:rPr>
          <w:b/>
          <w:sz w:val="28"/>
          <w:szCs w:val="28"/>
        </w:rPr>
        <w:t>балансовый метод</w:t>
      </w:r>
      <w:r>
        <w:rPr>
          <w:sz w:val="28"/>
          <w:szCs w:val="28"/>
        </w:rPr>
        <w:t xml:space="preserve"> – позволяет с</w:t>
      </w:r>
      <w:r w:rsidRPr="009D23E9">
        <w:rPr>
          <w:sz w:val="28"/>
          <w:szCs w:val="28"/>
        </w:rPr>
        <w:t>опостав</w:t>
      </w:r>
      <w:r>
        <w:rPr>
          <w:sz w:val="28"/>
          <w:szCs w:val="28"/>
        </w:rPr>
        <w:t>ить</w:t>
      </w:r>
      <w:r w:rsidRPr="009D23E9">
        <w:rPr>
          <w:sz w:val="28"/>
          <w:szCs w:val="28"/>
        </w:rPr>
        <w:t xml:space="preserve"> взаимосвязанны</w:t>
      </w:r>
      <w:r>
        <w:rPr>
          <w:sz w:val="28"/>
          <w:szCs w:val="28"/>
        </w:rPr>
        <w:t>е</w:t>
      </w:r>
      <w:r w:rsidRPr="009D23E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9D23E9">
        <w:rPr>
          <w:sz w:val="28"/>
          <w:szCs w:val="28"/>
        </w:rPr>
        <w:t xml:space="preserve"> с целью выяснения и измерения их взаимного влияния</w:t>
      </w:r>
      <w:r>
        <w:rPr>
          <w:sz w:val="28"/>
          <w:szCs w:val="28"/>
        </w:rPr>
        <w:t>;</w:t>
      </w:r>
    </w:p>
    <w:p w:rsidR="000B48C3" w:rsidRDefault="000B48C3" w:rsidP="000B48C3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700B4A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r w:rsidRPr="000B48C3">
        <w:rPr>
          <w:b/>
          <w:sz w:val="28"/>
          <w:szCs w:val="28"/>
        </w:rPr>
        <w:t>анализ процессов</w:t>
      </w:r>
      <w:r>
        <w:rPr>
          <w:sz w:val="28"/>
          <w:szCs w:val="28"/>
        </w:rPr>
        <w:t xml:space="preserve"> – позволяет идентифицировать и анализировать процессы как основу для достижения целей и результатов;</w:t>
      </w:r>
    </w:p>
    <w:p w:rsidR="000B48C3" w:rsidRPr="0073514B" w:rsidRDefault="000B48C3" w:rsidP="000B48C3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700B4A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r w:rsidRPr="000B48C3">
        <w:rPr>
          <w:b/>
          <w:sz w:val="28"/>
          <w:szCs w:val="28"/>
        </w:rPr>
        <w:t>анализ «разрывов»</w:t>
      </w:r>
      <w:r w:rsidRPr="00722B2E">
        <w:rPr>
          <w:sz w:val="28"/>
          <w:szCs w:val="28"/>
        </w:rPr>
        <w:t xml:space="preserve"> </w:t>
      </w:r>
      <w:r w:rsidR="00700B4A">
        <w:rPr>
          <w:sz w:val="28"/>
          <w:szCs w:val="28"/>
        </w:rPr>
        <w:t>– позволяет про</w:t>
      </w:r>
      <w:r w:rsidRPr="00722B2E">
        <w:rPr>
          <w:sz w:val="28"/>
          <w:szCs w:val="28"/>
        </w:rPr>
        <w:t>анализ</w:t>
      </w:r>
      <w:r w:rsidR="00700B4A">
        <w:rPr>
          <w:sz w:val="28"/>
          <w:szCs w:val="28"/>
        </w:rPr>
        <w:t>ировать</w:t>
      </w:r>
      <w:r w:rsidRPr="00722B2E">
        <w:rPr>
          <w:sz w:val="28"/>
          <w:szCs w:val="28"/>
        </w:rPr>
        <w:t xml:space="preserve"> причин</w:t>
      </w:r>
      <w:r w:rsidR="00700B4A">
        <w:rPr>
          <w:sz w:val="28"/>
          <w:szCs w:val="28"/>
        </w:rPr>
        <w:t>ы</w:t>
      </w:r>
      <w:r w:rsidRPr="00722B2E">
        <w:rPr>
          <w:sz w:val="28"/>
          <w:szCs w:val="28"/>
        </w:rPr>
        <w:t xml:space="preserve"> </w:t>
      </w:r>
      <w:r w:rsidR="00700B4A">
        <w:rPr>
          <w:sz w:val="28"/>
          <w:szCs w:val="28"/>
        </w:rPr>
        <w:t>отклонений</w:t>
      </w:r>
      <w:r w:rsidRPr="00722B2E">
        <w:rPr>
          <w:sz w:val="28"/>
          <w:szCs w:val="28"/>
        </w:rPr>
        <w:t xml:space="preserve"> между фактическим и планируемым значением </w:t>
      </w:r>
      <w:r w:rsidR="00700B4A">
        <w:rPr>
          <w:sz w:val="28"/>
          <w:szCs w:val="28"/>
        </w:rPr>
        <w:t>п</w:t>
      </w:r>
      <w:r w:rsidRPr="00722B2E">
        <w:rPr>
          <w:sz w:val="28"/>
          <w:szCs w:val="28"/>
        </w:rPr>
        <w:t>оказателей</w:t>
      </w:r>
      <w:r w:rsidR="00700B4A">
        <w:rPr>
          <w:sz w:val="28"/>
          <w:szCs w:val="28"/>
        </w:rPr>
        <w:t>;</w:t>
      </w:r>
    </w:p>
    <w:p w:rsidR="009D3C35" w:rsidRPr="0073514B" w:rsidRDefault="009D3C35" w:rsidP="000C6C9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0D5AAF">
        <w:rPr>
          <w:b/>
          <w:sz w:val="28"/>
          <w:szCs w:val="28"/>
        </w:rPr>
        <w:t>- факторный анализ</w:t>
      </w:r>
      <w:r w:rsidRPr="0073514B">
        <w:rPr>
          <w:sz w:val="28"/>
          <w:szCs w:val="28"/>
        </w:rPr>
        <w:t xml:space="preserve"> – позволяет выявить влияние отдельных факторов на исследуемые показатели.</w:t>
      </w:r>
    </w:p>
    <w:p w:rsidR="009D3C35" w:rsidRPr="0073514B" w:rsidRDefault="006311EB" w:rsidP="000C6C9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73514B">
        <w:rPr>
          <w:sz w:val="28"/>
          <w:szCs w:val="28"/>
        </w:rPr>
        <w:t>Д</w:t>
      </w:r>
      <w:r w:rsidR="00753238" w:rsidRPr="0073514B">
        <w:rPr>
          <w:sz w:val="28"/>
          <w:szCs w:val="28"/>
        </w:rPr>
        <w:t xml:space="preserve">ля </w:t>
      </w:r>
      <w:r w:rsidR="00D82B34">
        <w:rPr>
          <w:sz w:val="28"/>
          <w:szCs w:val="28"/>
        </w:rPr>
        <w:t>исследования (</w:t>
      </w:r>
      <w:r w:rsidR="00753238" w:rsidRPr="0073514B">
        <w:rPr>
          <w:sz w:val="28"/>
          <w:szCs w:val="28"/>
        </w:rPr>
        <w:t>оценки</w:t>
      </w:r>
      <w:r w:rsidR="00D82B34">
        <w:rPr>
          <w:sz w:val="28"/>
          <w:szCs w:val="28"/>
        </w:rPr>
        <w:t>)</w:t>
      </w:r>
      <w:r w:rsidR="00753238" w:rsidRPr="0073514B">
        <w:rPr>
          <w:sz w:val="28"/>
          <w:szCs w:val="28"/>
        </w:rPr>
        <w:t xml:space="preserve"> бюджетной и налоговой устойчивости</w:t>
      </w:r>
      <w:r w:rsidR="00F23F2B" w:rsidRPr="0073514B">
        <w:rPr>
          <w:sz w:val="28"/>
          <w:szCs w:val="28"/>
        </w:rPr>
        <w:t xml:space="preserve"> могут</w:t>
      </w:r>
      <w:r w:rsidR="00076F8A" w:rsidRPr="0073514B">
        <w:rPr>
          <w:sz w:val="28"/>
          <w:szCs w:val="28"/>
        </w:rPr>
        <w:t xml:space="preserve"> использ</w:t>
      </w:r>
      <w:r w:rsidR="00F23F2B" w:rsidRPr="0073514B">
        <w:rPr>
          <w:sz w:val="28"/>
          <w:szCs w:val="28"/>
        </w:rPr>
        <w:t>оваться</w:t>
      </w:r>
      <w:r w:rsidR="00076F8A" w:rsidRPr="0073514B">
        <w:rPr>
          <w:sz w:val="28"/>
          <w:szCs w:val="28"/>
        </w:rPr>
        <w:t xml:space="preserve"> следующие количественные показатели</w:t>
      </w:r>
      <w:r w:rsidR="000B48C3">
        <w:rPr>
          <w:sz w:val="28"/>
          <w:szCs w:val="28"/>
        </w:rPr>
        <w:t xml:space="preserve"> и коэффициенты</w:t>
      </w:r>
      <w:r w:rsidR="00076F8A" w:rsidRPr="0073514B">
        <w:rPr>
          <w:sz w:val="28"/>
          <w:szCs w:val="28"/>
        </w:rPr>
        <w:t>:</w:t>
      </w:r>
    </w:p>
    <w:p w:rsidR="00076F8A" w:rsidRPr="00F23F2B" w:rsidRDefault="00076F8A" w:rsidP="000C6C92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076F8A" w:rsidRPr="0073514B" w:rsidRDefault="00076F8A" w:rsidP="000C6C92">
      <w:pPr>
        <w:pStyle w:val="1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73514B">
        <w:rPr>
          <w:b/>
          <w:sz w:val="28"/>
          <w:szCs w:val="28"/>
        </w:rPr>
        <w:t>- </w:t>
      </w:r>
      <w:r w:rsidR="0073514B" w:rsidRPr="0073514B">
        <w:rPr>
          <w:b/>
          <w:sz w:val="28"/>
          <w:szCs w:val="28"/>
        </w:rPr>
        <w:t>коэффициент</w:t>
      </w:r>
      <w:r w:rsidRPr="0073514B">
        <w:rPr>
          <w:b/>
          <w:sz w:val="28"/>
          <w:szCs w:val="28"/>
        </w:rPr>
        <w:t xml:space="preserve"> финансовой независимости:</w:t>
      </w:r>
    </w:p>
    <w:p w:rsidR="00076F8A" w:rsidRDefault="00076F8A" w:rsidP="000C6C92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76F8A" w:rsidRDefault="0085259E" w:rsidP="00076F8A">
      <w:pPr>
        <w:pStyle w:val="11"/>
        <w:spacing w:before="0" w:after="0" w:line="240" w:lineRule="auto"/>
        <w:ind w:firstLine="0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фн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НД+ННД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Д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,где</m:t>
          </m:r>
        </m:oMath>
      </m:oMathPara>
    </w:p>
    <w:p w:rsidR="00076F8A" w:rsidRDefault="00076F8A" w:rsidP="00076F8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НД – налоговые доходы;</w:t>
      </w:r>
    </w:p>
    <w:p w:rsidR="00076F8A" w:rsidRDefault="00076F8A" w:rsidP="00076F8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ННД – неналоговые доходы;</w:t>
      </w:r>
    </w:p>
    <w:p w:rsidR="00076F8A" w:rsidRDefault="00076F8A" w:rsidP="00076F8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доходы бюджета всего.</w:t>
      </w:r>
    </w:p>
    <w:p w:rsidR="00076F8A" w:rsidRPr="00F23F2B" w:rsidRDefault="00076F8A" w:rsidP="00076F8A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076F8A" w:rsidRPr="0073514B" w:rsidRDefault="00076F8A" w:rsidP="00076F8A">
      <w:pPr>
        <w:pStyle w:val="1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73514B">
        <w:rPr>
          <w:b/>
          <w:sz w:val="28"/>
          <w:szCs w:val="28"/>
        </w:rPr>
        <w:t>- коэффициент финансовой устойчивости:</w:t>
      </w:r>
    </w:p>
    <w:p w:rsidR="00076F8A" w:rsidRDefault="00076F8A" w:rsidP="00076F8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76F8A" w:rsidRPr="00076F8A" w:rsidRDefault="0085259E" w:rsidP="00076F8A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фн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НД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Д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,где</m:t>
          </m:r>
        </m:oMath>
      </m:oMathPara>
    </w:p>
    <w:p w:rsidR="00076F8A" w:rsidRDefault="00076F8A" w:rsidP="00076F8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НД – налоговые доходы;</w:t>
      </w:r>
    </w:p>
    <w:p w:rsidR="00076F8A" w:rsidRDefault="00076F8A" w:rsidP="00076F8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доходы бюджета всего.</w:t>
      </w:r>
    </w:p>
    <w:p w:rsidR="00076F8A" w:rsidRPr="00F23F2B" w:rsidRDefault="00076F8A" w:rsidP="00076F8A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076F8A" w:rsidRPr="0073514B" w:rsidRDefault="00076F8A" w:rsidP="00076F8A">
      <w:pPr>
        <w:pStyle w:val="1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73514B">
        <w:rPr>
          <w:b/>
          <w:sz w:val="28"/>
          <w:szCs w:val="28"/>
        </w:rPr>
        <w:t xml:space="preserve">- коэффициент </w:t>
      </w:r>
      <w:r w:rsidR="00BC6DE3" w:rsidRPr="0073514B">
        <w:rPr>
          <w:b/>
          <w:sz w:val="28"/>
          <w:szCs w:val="28"/>
        </w:rPr>
        <w:t>собственных доходов:</w:t>
      </w:r>
    </w:p>
    <w:p w:rsidR="00076F8A" w:rsidRDefault="00076F8A" w:rsidP="00076F8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76F8A" w:rsidRPr="00076F8A" w:rsidRDefault="0085259E" w:rsidP="00076F8A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фн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Д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,где</m:t>
          </m:r>
        </m:oMath>
      </m:oMathPara>
    </w:p>
    <w:p w:rsidR="00076F8A" w:rsidRDefault="00076F8A" w:rsidP="00076F8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– собственные доходы (налоговые и неналоговые доходы</w:t>
      </w:r>
      <w:r w:rsidR="00BC6DE3">
        <w:rPr>
          <w:sz w:val="28"/>
          <w:szCs w:val="28"/>
        </w:rPr>
        <w:t>, доходы, полученные в виде безвозмездных поступлений, за исключением субвенций</w:t>
      </w:r>
      <w:r>
        <w:rPr>
          <w:sz w:val="28"/>
          <w:szCs w:val="28"/>
        </w:rPr>
        <w:t>);</w:t>
      </w:r>
    </w:p>
    <w:p w:rsidR="00076F8A" w:rsidRDefault="00076F8A" w:rsidP="00076F8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доходы бюджета всего.</w:t>
      </w:r>
    </w:p>
    <w:p w:rsidR="00BC6DE3" w:rsidRPr="00F23F2B" w:rsidRDefault="00BC6DE3" w:rsidP="00076F8A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BC6DE3" w:rsidRPr="0073514B" w:rsidRDefault="00BC6DE3" w:rsidP="00076F8A">
      <w:pPr>
        <w:pStyle w:val="1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73514B">
        <w:rPr>
          <w:b/>
          <w:sz w:val="28"/>
          <w:szCs w:val="28"/>
        </w:rPr>
        <w:t xml:space="preserve">- коэффициент </w:t>
      </w:r>
      <w:r w:rsidR="00F23F2B" w:rsidRPr="0073514B">
        <w:rPr>
          <w:b/>
          <w:sz w:val="28"/>
          <w:szCs w:val="28"/>
        </w:rPr>
        <w:t>платежеспособности:</w:t>
      </w:r>
    </w:p>
    <w:p w:rsidR="00F23F2B" w:rsidRDefault="00F23F2B" w:rsidP="00076F8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23F2B" w:rsidRPr="00F23F2B" w:rsidRDefault="0085259E" w:rsidP="00076F8A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фн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НД+ННД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Р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,где</m:t>
          </m:r>
        </m:oMath>
      </m:oMathPara>
    </w:p>
    <w:p w:rsidR="00F23F2B" w:rsidRDefault="00F23F2B" w:rsidP="00F23F2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НД – налоговые доходы;</w:t>
      </w:r>
    </w:p>
    <w:p w:rsidR="00F23F2B" w:rsidRDefault="00F23F2B" w:rsidP="00F23F2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ННД – неналоговые доходы;</w:t>
      </w:r>
    </w:p>
    <w:p w:rsidR="00F23F2B" w:rsidRDefault="00F23F2B" w:rsidP="00F23F2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– расходы бюджета всего.</w:t>
      </w:r>
    </w:p>
    <w:p w:rsidR="00F23F2B" w:rsidRPr="00F23F2B" w:rsidRDefault="00F23F2B" w:rsidP="00F23F2B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F23F2B" w:rsidRPr="0073514B" w:rsidRDefault="00F23F2B" w:rsidP="008D5E75">
      <w:pPr>
        <w:pStyle w:val="11"/>
        <w:keepNext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73514B">
        <w:rPr>
          <w:b/>
          <w:sz w:val="28"/>
          <w:szCs w:val="28"/>
        </w:rPr>
        <w:lastRenderedPageBreak/>
        <w:t>- коэффициент собираемости налоговых доходов:</w:t>
      </w:r>
    </w:p>
    <w:p w:rsidR="00F23F2B" w:rsidRDefault="00F23F2B" w:rsidP="008D5E75">
      <w:pPr>
        <w:pStyle w:val="11"/>
        <w:keepNext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23F2B" w:rsidRPr="00F23F2B" w:rsidRDefault="0085259E" w:rsidP="00F23F2B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фн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НД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(НД+Н)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,где</m:t>
          </m:r>
        </m:oMath>
      </m:oMathPara>
    </w:p>
    <w:p w:rsidR="00F23F2B" w:rsidRDefault="00F23F2B" w:rsidP="00F23F2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НД – налоговые доходы;</w:t>
      </w:r>
    </w:p>
    <w:p w:rsidR="00F23F2B" w:rsidRDefault="00F23F2B" w:rsidP="00F23F2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– недоимка по налоговым доходам.</w:t>
      </w:r>
    </w:p>
    <w:p w:rsidR="00F23F2B" w:rsidRDefault="00F23F2B" w:rsidP="00F23F2B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F23F2B" w:rsidRPr="00AF2219" w:rsidRDefault="0073514B" w:rsidP="00F23F2B">
      <w:pPr>
        <w:pStyle w:val="1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F2219">
        <w:rPr>
          <w:b/>
          <w:sz w:val="28"/>
          <w:szCs w:val="28"/>
        </w:rPr>
        <w:t>- коэффициент капитальных вложений:</w:t>
      </w:r>
    </w:p>
    <w:p w:rsidR="0073514B" w:rsidRPr="00AF2219" w:rsidRDefault="0073514B" w:rsidP="00F23F2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3514B" w:rsidRPr="00AF2219" w:rsidRDefault="0085259E" w:rsidP="00F23F2B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фн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РКВ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Р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,где</m:t>
          </m:r>
        </m:oMath>
      </m:oMathPara>
    </w:p>
    <w:p w:rsidR="0073514B" w:rsidRPr="00AF2219" w:rsidRDefault="0073514B" w:rsidP="00F23F2B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w:r w:rsidRPr="00AF2219">
        <w:rPr>
          <w:sz w:val="26"/>
          <w:szCs w:val="26"/>
        </w:rPr>
        <w:t>РКВ – расходы на капитальные вложения в основные фонды;</w:t>
      </w:r>
    </w:p>
    <w:p w:rsidR="0073514B" w:rsidRPr="00AF2219" w:rsidRDefault="0073514B" w:rsidP="00F23F2B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w:r w:rsidRPr="00AF2219">
        <w:rPr>
          <w:sz w:val="26"/>
          <w:szCs w:val="26"/>
        </w:rPr>
        <w:t>Р – расходы бюджета всего.</w:t>
      </w:r>
    </w:p>
    <w:p w:rsidR="0073514B" w:rsidRPr="00AF2219" w:rsidRDefault="0073514B" w:rsidP="00F23F2B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73514B" w:rsidRPr="000D5AAF" w:rsidRDefault="0073514B" w:rsidP="00F23F2B">
      <w:pPr>
        <w:pStyle w:val="1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F2219">
        <w:rPr>
          <w:b/>
          <w:sz w:val="28"/>
          <w:szCs w:val="28"/>
        </w:rPr>
        <w:t>- </w:t>
      </w:r>
      <w:r w:rsidR="000D5AAF" w:rsidRPr="00AF2219">
        <w:rPr>
          <w:b/>
          <w:sz w:val="28"/>
          <w:szCs w:val="28"/>
        </w:rPr>
        <w:t>коэффициент покрытия расходов:</w:t>
      </w:r>
    </w:p>
    <w:p w:rsidR="000D5AAF" w:rsidRDefault="000D5AAF" w:rsidP="00F23F2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D5AAF" w:rsidRPr="000D5AAF" w:rsidRDefault="0085259E" w:rsidP="00F23F2B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фн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Д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Р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,где</m:t>
          </m:r>
        </m:oMath>
      </m:oMathPara>
    </w:p>
    <w:p w:rsidR="000D5AAF" w:rsidRDefault="000D5AAF" w:rsidP="00F23F2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доходы бюджета всего;</w:t>
      </w:r>
    </w:p>
    <w:p w:rsidR="000D5AAF" w:rsidRDefault="000D5AAF" w:rsidP="000D5AA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– расходы бюджета всего.</w:t>
      </w:r>
    </w:p>
    <w:p w:rsidR="000D5AAF" w:rsidRPr="000D5AAF" w:rsidRDefault="000D5AAF" w:rsidP="00F23F2B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0D5AAF" w:rsidRPr="000D5AAF" w:rsidRDefault="000D5AAF" w:rsidP="00F23F2B">
      <w:pPr>
        <w:pStyle w:val="1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D5AAF">
        <w:rPr>
          <w:b/>
          <w:sz w:val="28"/>
          <w:szCs w:val="28"/>
        </w:rPr>
        <w:t>- уровень доходов бюджета на душу населения</w:t>
      </w:r>
      <w:r w:rsidR="00DE3A37">
        <w:rPr>
          <w:b/>
          <w:sz w:val="28"/>
          <w:szCs w:val="28"/>
        </w:rPr>
        <w:t xml:space="preserve"> (тыс. руб. на одного человека)</w:t>
      </w:r>
      <w:r w:rsidRPr="000D5AAF">
        <w:rPr>
          <w:b/>
          <w:sz w:val="28"/>
          <w:szCs w:val="28"/>
        </w:rPr>
        <w:t>:</w:t>
      </w:r>
    </w:p>
    <w:p w:rsidR="000D5AAF" w:rsidRDefault="000D5AAF" w:rsidP="00F23F2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D5AAF" w:rsidRPr="000D5AAF" w:rsidRDefault="0085259E" w:rsidP="00F23F2B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фн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Д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ЧН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,где</m:t>
          </m:r>
        </m:oMath>
      </m:oMathPara>
    </w:p>
    <w:p w:rsidR="000D5AAF" w:rsidRDefault="000D5AAF" w:rsidP="000D5AA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доходы бюджета всего;</w:t>
      </w:r>
    </w:p>
    <w:p w:rsidR="000D5AAF" w:rsidRDefault="000D5AAF" w:rsidP="000D5AA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ЧН – численность населения.</w:t>
      </w:r>
    </w:p>
    <w:p w:rsidR="000D5AAF" w:rsidRPr="000D5AAF" w:rsidRDefault="000D5AAF" w:rsidP="000D5AAF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0D5AAF" w:rsidRDefault="000D5AAF" w:rsidP="000D5AAF">
      <w:pPr>
        <w:pStyle w:val="1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D5AAF">
        <w:rPr>
          <w:b/>
          <w:sz w:val="28"/>
          <w:szCs w:val="28"/>
        </w:rPr>
        <w:t>- уровень расходов бюджета на душу населения</w:t>
      </w:r>
      <w:r w:rsidR="00DE3A37">
        <w:rPr>
          <w:b/>
          <w:sz w:val="28"/>
          <w:szCs w:val="28"/>
        </w:rPr>
        <w:t xml:space="preserve"> (тыс. руб. на одного человека)</w:t>
      </w:r>
      <w:r>
        <w:rPr>
          <w:b/>
          <w:sz w:val="28"/>
          <w:szCs w:val="28"/>
        </w:rPr>
        <w:t>:</w:t>
      </w:r>
    </w:p>
    <w:p w:rsidR="000D5AAF" w:rsidRPr="000D5AAF" w:rsidRDefault="000D5AAF" w:rsidP="000D5AA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D5AAF" w:rsidRPr="000D5AAF" w:rsidRDefault="0085259E" w:rsidP="000D5AAF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фн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Р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ЧН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,где</m:t>
          </m:r>
        </m:oMath>
      </m:oMathPara>
    </w:p>
    <w:p w:rsidR="000D5AAF" w:rsidRDefault="000D5AAF" w:rsidP="000D5AA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– расходы бюджета всего;</w:t>
      </w:r>
    </w:p>
    <w:p w:rsidR="000D5AAF" w:rsidRDefault="000D5AAF" w:rsidP="000D5AA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ЧН – численность населения.</w:t>
      </w:r>
    </w:p>
    <w:p w:rsidR="000D5AAF" w:rsidRPr="000D5AAF" w:rsidRDefault="000D5AAF" w:rsidP="000D5AAF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0D5AAF" w:rsidRPr="00DE3A37" w:rsidRDefault="00275733" w:rsidP="000D5AAF">
      <w:pPr>
        <w:pStyle w:val="1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DE3A37">
        <w:rPr>
          <w:b/>
          <w:sz w:val="28"/>
          <w:szCs w:val="28"/>
        </w:rPr>
        <w:t>- </w:t>
      </w:r>
      <w:r w:rsidR="00747933" w:rsidRPr="00DE3A37">
        <w:rPr>
          <w:b/>
          <w:sz w:val="28"/>
          <w:szCs w:val="28"/>
        </w:rPr>
        <w:t>уровень дефицита бюджета</w:t>
      </w:r>
      <w:r w:rsidR="00DE3A37" w:rsidRPr="00DE3A37">
        <w:rPr>
          <w:b/>
          <w:sz w:val="28"/>
          <w:szCs w:val="28"/>
        </w:rPr>
        <w:t>, %</w:t>
      </w:r>
      <w:r w:rsidR="00747933" w:rsidRPr="00DE3A37">
        <w:rPr>
          <w:b/>
          <w:sz w:val="28"/>
          <w:szCs w:val="28"/>
        </w:rPr>
        <w:t>:</w:t>
      </w:r>
    </w:p>
    <w:p w:rsidR="00747933" w:rsidRDefault="00747933" w:rsidP="000D5AA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47933" w:rsidRPr="00DE3A37" w:rsidRDefault="0085259E" w:rsidP="000D5AAF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фн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Деф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(НД+ННД)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×100,где</m:t>
          </m:r>
        </m:oMath>
      </m:oMathPara>
    </w:p>
    <w:p w:rsidR="00DE3A37" w:rsidRDefault="00DE3A37" w:rsidP="000D5AAF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 – размер дефицита;</w:t>
      </w:r>
    </w:p>
    <w:p w:rsidR="00DE3A37" w:rsidRDefault="00DE3A37" w:rsidP="00DE3A37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НД – налоговые доходы;</w:t>
      </w:r>
    </w:p>
    <w:p w:rsidR="00DE3A37" w:rsidRDefault="00DE3A37" w:rsidP="00DE3A37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ННД – неналоговые доходы.</w:t>
      </w:r>
    </w:p>
    <w:p w:rsidR="00DE3A37" w:rsidRPr="00DE3A37" w:rsidRDefault="00DE3A37" w:rsidP="00DE3A37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DE3A37" w:rsidRPr="00DE3A37" w:rsidRDefault="00DE3A37" w:rsidP="008D5E75">
      <w:pPr>
        <w:pStyle w:val="11"/>
        <w:keepNext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DE3A37">
        <w:rPr>
          <w:b/>
          <w:sz w:val="28"/>
          <w:szCs w:val="28"/>
        </w:rPr>
        <w:lastRenderedPageBreak/>
        <w:t>- уровень долговой нагрузки, %:</w:t>
      </w:r>
    </w:p>
    <w:p w:rsidR="00DE3A37" w:rsidRDefault="00DE3A37" w:rsidP="008D5E75">
      <w:pPr>
        <w:pStyle w:val="11"/>
        <w:keepNext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E3A37" w:rsidRPr="00DE3A37" w:rsidRDefault="0085259E" w:rsidP="00DE3A37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фн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ГД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(НД+ННД)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×100,где</m:t>
          </m:r>
        </m:oMath>
      </m:oMathPara>
    </w:p>
    <w:p w:rsidR="00DE3A37" w:rsidRDefault="00DE3A37" w:rsidP="00DE3A37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 – объем государственного долга;</w:t>
      </w:r>
    </w:p>
    <w:p w:rsidR="00DE3A37" w:rsidRDefault="00DE3A37" w:rsidP="00DE3A37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НД – налоговые доходы;</w:t>
      </w:r>
    </w:p>
    <w:p w:rsidR="00DE3A37" w:rsidRDefault="00DE3A37" w:rsidP="00DE3A37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ННД – неналоговые доходы.</w:t>
      </w:r>
    </w:p>
    <w:p w:rsidR="00AF2219" w:rsidRPr="00C5437B" w:rsidRDefault="00AF2219" w:rsidP="00DE3A37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C5437B" w:rsidRDefault="00C5437B" w:rsidP="00DE3A37">
      <w:pPr>
        <w:pStyle w:val="1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C5437B">
        <w:rPr>
          <w:b/>
          <w:sz w:val="28"/>
          <w:szCs w:val="28"/>
        </w:rPr>
        <w:t xml:space="preserve">- иные </w:t>
      </w:r>
      <w:r w:rsidR="000B48C3">
        <w:rPr>
          <w:b/>
          <w:sz w:val="28"/>
          <w:szCs w:val="28"/>
        </w:rPr>
        <w:t>показатели и коэффициенты</w:t>
      </w:r>
      <w:r w:rsidRPr="00C5437B">
        <w:rPr>
          <w:b/>
          <w:sz w:val="28"/>
          <w:szCs w:val="28"/>
        </w:rPr>
        <w:t>.</w:t>
      </w:r>
    </w:p>
    <w:p w:rsidR="00C5437B" w:rsidRPr="00700B4A" w:rsidRDefault="00C5437B" w:rsidP="00DE3A37">
      <w:pPr>
        <w:pStyle w:val="11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AF2219" w:rsidRDefault="00AF2219" w:rsidP="00DE3A37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влияния отдельных факторов и взаимосвязи между переменными мож</w:t>
      </w:r>
      <w:r w:rsidR="000430B9">
        <w:rPr>
          <w:sz w:val="28"/>
          <w:szCs w:val="28"/>
        </w:rPr>
        <w:t>ет применяться факторный анализ путем выделения групп переменных, сильно коррелирующих между собой, и определения «веса» каждого элемента в ней.</w:t>
      </w:r>
    </w:p>
    <w:p w:rsidR="00C5437B" w:rsidRDefault="00C5437B" w:rsidP="00DE3A37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исследования</w:t>
      </w:r>
      <w:r w:rsidR="000B48C3">
        <w:rPr>
          <w:sz w:val="28"/>
          <w:szCs w:val="28"/>
        </w:rPr>
        <w:t xml:space="preserve"> (оценки)</w:t>
      </w:r>
      <w:r>
        <w:rPr>
          <w:sz w:val="28"/>
          <w:szCs w:val="28"/>
        </w:rPr>
        <w:t xml:space="preserve"> делается вывод об уровне бюджетной и налоговой устойчивости, а также </w:t>
      </w:r>
      <w:r w:rsidRPr="00C50E89">
        <w:rPr>
          <w:sz w:val="28"/>
          <w:szCs w:val="28"/>
        </w:rPr>
        <w:t>вырабатываются необходимые предложения</w:t>
      </w:r>
      <w:r>
        <w:rPr>
          <w:sz w:val="28"/>
          <w:szCs w:val="28"/>
        </w:rPr>
        <w:t xml:space="preserve"> и </w:t>
      </w:r>
      <w:r w:rsidRPr="00C50E89">
        <w:rPr>
          <w:sz w:val="28"/>
          <w:szCs w:val="28"/>
        </w:rPr>
        <w:t>рекомендации</w:t>
      </w:r>
      <w:r>
        <w:rPr>
          <w:sz w:val="28"/>
          <w:szCs w:val="28"/>
        </w:rPr>
        <w:t>.</w:t>
      </w:r>
    </w:p>
    <w:p w:rsidR="001E2106" w:rsidRPr="001E2106" w:rsidRDefault="001E2106" w:rsidP="00AF2219">
      <w:pPr>
        <w:pStyle w:val="11"/>
        <w:spacing w:before="0" w:after="0" w:line="240" w:lineRule="auto"/>
        <w:ind w:firstLine="0"/>
        <w:rPr>
          <w:sz w:val="16"/>
          <w:szCs w:val="16"/>
        </w:rPr>
      </w:pPr>
    </w:p>
    <w:p w:rsidR="00AF2219" w:rsidRDefault="00AF2219" w:rsidP="00AF221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6" w:name="_Toc117063048"/>
      <w:bookmarkStart w:id="7" w:name="_Toc121729156"/>
      <w:bookmarkStart w:id="8" w:name="_Toc123031396"/>
      <w:r w:rsidRPr="00AF2219">
        <w:rPr>
          <w:rFonts w:ascii="Times New Roman" w:eastAsia="Times New Roman" w:hAnsi="Times New Roman" w:cs="Times New Roman"/>
          <w:color w:val="auto"/>
        </w:rPr>
        <w:t>4. Порядок оформления результатов проведения экспертно-аналитического мероприятия</w:t>
      </w:r>
      <w:bookmarkEnd w:id="6"/>
      <w:bookmarkEnd w:id="7"/>
      <w:bookmarkEnd w:id="8"/>
    </w:p>
    <w:p w:rsidR="00AF2219" w:rsidRPr="00AF2219" w:rsidRDefault="00AF2219" w:rsidP="00AF2219">
      <w:pPr>
        <w:pStyle w:val="11"/>
        <w:spacing w:before="0" w:after="0" w:line="240" w:lineRule="auto"/>
        <w:ind w:firstLine="0"/>
        <w:rPr>
          <w:sz w:val="16"/>
          <w:szCs w:val="16"/>
        </w:rPr>
      </w:pPr>
    </w:p>
    <w:p w:rsidR="00AF2219" w:rsidRPr="00AF2219" w:rsidRDefault="00AF2219" w:rsidP="00AF2219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AF2219">
        <w:rPr>
          <w:sz w:val="28"/>
          <w:szCs w:val="28"/>
        </w:rPr>
        <w:t>Порядок оформления результатов экспертно-аналитического мероприятия по</w:t>
      </w:r>
      <w:r w:rsidR="009E4F18">
        <w:rPr>
          <w:sz w:val="28"/>
          <w:szCs w:val="28"/>
        </w:rPr>
        <w:t xml:space="preserve"> исследованию</w:t>
      </w:r>
      <w:r w:rsidRPr="00AF2219">
        <w:rPr>
          <w:sz w:val="28"/>
          <w:szCs w:val="28"/>
        </w:rPr>
        <w:t xml:space="preserve"> </w:t>
      </w:r>
      <w:r w:rsidR="009E4F18">
        <w:rPr>
          <w:sz w:val="28"/>
          <w:szCs w:val="28"/>
        </w:rPr>
        <w:t>(</w:t>
      </w:r>
      <w:r w:rsidRPr="00AF2219">
        <w:rPr>
          <w:sz w:val="28"/>
          <w:szCs w:val="28"/>
        </w:rPr>
        <w:t>оценке</w:t>
      </w:r>
      <w:r w:rsidR="009E4F18">
        <w:rPr>
          <w:sz w:val="28"/>
          <w:szCs w:val="28"/>
        </w:rPr>
        <w:t>)</w:t>
      </w:r>
      <w:r w:rsidRPr="00AF2219">
        <w:rPr>
          <w:sz w:val="28"/>
          <w:szCs w:val="28"/>
        </w:rPr>
        <w:t xml:space="preserve"> бюджетной</w:t>
      </w:r>
      <w:r>
        <w:rPr>
          <w:sz w:val="28"/>
          <w:szCs w:val="28"/>
        </w:rPr>
        <w:t xml:space="preserve"> и налоговой</w:t>
      </w:r>
      <w:r w:rsidRPr="00AF2219">
        <w:rPr>
          <w:sz w:val="28"/>
          <w:szCs w:val="28"/>
        </w:rPr>
        <w:t xml:space="preserve"> устойчивости Калужской области, осуществляется в соответствии со стандартом внешнего государственного финансового контроля СГА 102 «Порядок проведения экспертно-аналитического мероприятия».</w:t>
      </w:r>
    </w:p>
    <w:p w:rsidR="00AF2219" w:rsidRPr="00AF2219" w:rsidRDefault="00AF2219" w:rsidP="00AF2219">
      <w:pPr>
        <w:pStyle w:val="11"/>
        <w:spacing w:before="0" w:after="0" w:line="240" w:lineRule="auto"/>
        <w:ind w:firstLine="0"/>
        <w:rPr>
          <w:sz w:val="16"/>
          <w:szCs w:val="16"/>
        </w:rPr>
      </w:pPr>
    </w:p>
    <w:p w:rsidR="00AF2219" w:rsidRDefault="00AF2219" w:rsidP="00AF221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9" w:name="_Toc117063049"/>
      <w:bookmarkStart w:id="10" w:name="_Toc121729157"/>
      <w:bookmarkStart w:id="11" w:name="_Toc123031397"/>
      <w:r w:rsidRPr="00AF2219">
        <w:rPr>
          <w:rFonts w:ascii="Times New Roman" w:eastAsia="Times New Roman" w:hAnsi="Times New Roman" w:cs="Times New Roman"/>
          <w:color w:val="auto"/>
        </w:rPr>
        <w:t>5. Актуализация методических указаний</w:t>
      </w:r>
      <w:bookmarkEnd w:id="9"/>
      <w:bookmarkEnd w:id="10"/>
      <w:bookmarkEnd w:id="11"/>
    </w:p>
    <w:p w:rsidR="00AF2219" w:rsidRPr="00AF2219" w:rsidRDefault="00AF2219" w:rsidP="00AF2219">
      <w:pPr>
        <w:pStyle w:val="11"/>
        <w:spacing w:before="0" w:after="0" w:line="240" w:lineRule="auto"/>
        <w:ind w:firstLine="0"/>
        <w:rPr>
          <w:sz w:val="16"/>
          <w:szCs w:val="16"/>
        </w:rPr>
      </w:pPr>
    </w:p>
    <w:p w:rsidR="00AF2219" w:rsidRPr="00AF2219" w:rsidRDefault="00AF2219" w:rsidP="00AF2219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AF2219">
        <w:rPr>
          <w:sz w:val="28"/>
          <w:szCs w:val="28"/>
        </w:rPr>
        <w:t>Внесение изменений в настоящие методические рекомендации осуществляется на основании решений коллегии Контрольно-счетной палаты.</w:t>
      </w:r>
    </w:p>
    <w:sectPr w:rsidR="00AF2219" w:rsidRPr="00AF2219" w:rsidSect="009C3EF6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A9" w:rsidRDefault="00EE57A9" w:rsidP="00EE57A9">
      <w:pPr>
        <w:spacing w:after="0" w:line="240" w:lineRule="auto"/>
      </w:pPr>
      <w:r>
        <w:separator/>
      </w:r>
    </w:p>
  </w:endnote>
  <w:endnote w:type="continuationSeparator" w:id="0">
    <w:p w:rsidR="00EE57A9" w:rsidRDefault="00EE57A9" w:rsidP="00E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901462"/>
      <w:docPartObj>
        <w:docPartGallery w:val="Page Numbers (Bottom of Page)"/>
        <w:docPartUnique/>
      </w:docPartObj>
    </w:sdtPr>
    <w:sdtEndPr/>
    <w:sdtContent>
      <w:p w:rsidR="009E4F18" w:rsidRDefault="009E4F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9E">
          <w:rPr>
            <w:noProof/>
          </w:rPr>
          <w:t>6</w:t>
        </w:r>
        <w:r>
          <w:fldChar w:fldCharType="end"/>
        </w:r>
      </w:p>
    </w:sdtContent>
  </w:sdt>
  <w:p w:rsidR="00EE57A9" w:rsidRDefault="00EE57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A9" w:rsidRDefault="00EE57A9" w:rsidP="00EE57A9">
      <w:pPr>
        <w:spacing w:after="0" w:line="240" w:lineRule="auto"/>
      </w:pPr>
      <w:r>
        <w:separator/>
      </w:r>
    </w:p>
  </w:footnote>
  <w:footnote w:type="continuationSeparator" w:id="0">
    <w:p w:rsidR="00EE57A9" w:rsidRDefault="00EE57A9" w:rsidP="00EE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70"/>
    <w:rsid w:val="000430B9"/>
    <w:rsid w:val="00076F8A"/>
    <w:rsid w:val="000858A0"/>
    <w:rsid w:val="00092E48"/>
    <w:rsid w:val="000B48C3"/>
    <w:rsid w:val="000C6C92"/>
    <w:rsid w:val="000D5AAF"/>
    <w:rsid w:val="00187970"/>
    <w:rsid w:val="001E2106"/>
    <w:rsid w:val="00275733"/>
    <w:rsid w:val="003C59F9"/>
    <w:rsid w:val="004055EA"/>
    <w:rsid w:val="00444357"/>
    <w:rsid w:val="004838A9"/>
    <w:rsid w:val="005355FD"/>
    <w:rsid w:val="00587C3D"/>
    <w:rsid w:val="005924BF"/>
    <w:rsid w:val="0059592D"/>
    <w:rsid w:val="006311EB"/>
    <w:rsid w:val="0066239F"/>
    <w:rsid w:val="006678FF"/>
    <w:rsid w:val="006A2EF6"/>
    <w:rsid w:val="006C36C1"/>
    <w:rsid w:val="006E50FA"/>
    <w:rsid w:val="00700B4A"/>
    <w:rsid w:val="0073514B"/>
    <w:rsid w:val="00747933"/>
    <w:rsid w:val="00753238"/>
    <w:rsid w:val="007643D3"/>
    <w:rsid w:val="007D517C"/>
    <w:rsid w:val="008170F3"/>
    <w:rsid w:val="0085259E"/>
    <w:rsid w:val="008D5E75"/>
    <w:rsid w:val="00917B29"/>
    <w:rsid w:val="0093509D"/>
    <w:rsid w:val="009C3EF6"/>
    <w:rsid w:val="009D3C35"/>
    <w:rsid w:val="009D40C9"/>
    <w:rsid w:val="009E4F18"/>
    <w:rsid w:val="00A0286C"/>
    <w:rsid w:val="00A90EE7"/>
    <w:rsid w:val="00AF2219"/>
    <w:rsid w:val="00B172DB"/>
    <w:rsid w:val="00B35EA9"/>
    <w:rsid w:val="00B52673"/>
    <w:rsid w:val="00BC6DE3"/>
    <w:rsid w:val="00BF742F"/>
    <w:rsid w:val="00C34724"/>
    <w:rsid w:val="00C5437B"/>
    <w:rsid w:val="00CB7899"/>
    <w:rsid w:val="00CC64C3"/>
    <w:rsid w:val="00CD2F19"/>
    <w:rsid w:val="00D01EA3"/>
    <w:rsid w:val="00D82B34"/>
    <w:rsid w:val="00DE3A37"/>
    <w:rsid w:val="00E638C3"/>
    <w:rsid w:val="00ED1038"/>
    <w:rsid w:val="00EE57A9"/>
    <w:rsid w:val="00F1129E"/>
    <w:rsid w:val="00F23F2B"/>
    <w:rsid w:val="00F42608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6E5DE-F247-42F8-B1F3-48F0CA8D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C3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36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36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6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7C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Bodytext">
    <w:name w:val="Body text_"/>
    <w:basedOn w:val="a0"/>
    <w:link w:val="11"/>
    <w:rsid w:val="00587C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87C3D"/>
    <w:pPr>
      <w:shd w:val="clear" w:color="auto" w:fill="FFFFFF"/>
      <w:spacing w:before="600" w:after="900" w:line="322" w:lineRule="exac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145pt">
    <w:name w:val="Body text + 14;5 pt"/>
    <w:basedOn w:val="Bodytext"/>
    <w:rsid w:val="00587C3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Название1"/>
    <w:basedOn w:val="a"/>
    <w:qFormat/>
    <w:rsid w:val="0066239F"/>
    <w:pPr>
      <w:spacing w:after="0" w:line="240" w:lineRule="auto"/>
      <w:ind w:firstLine="684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6239F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917B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917B29"/>
    <w:pPr>
      <w:shd w:val="clear" w:color="auto" w:fill="FFFFFF"/>
      <w:spacing w:after="31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Placeholder Text"/>
    <w:basedOn w:val="a0"/>
    <w:uiPriority w:val="99"/>
    <w:semiHidden/>
    <w:rsid w:val="00076F8A"/>
    <w:rPr>
      <w:color w:val="808080"/>
    </w:rPr>
  </w:style>
  <w:style w:type="paragraph" w:styleId="a8">
    <w:name w:val="footer"/>
    <w:basedOn w:val="a"/>
    <w:link w:val="a9"/>
    <w:uiPriority w:val="99"/>
    <w:rsid w:val="000B4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B4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700B4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5924BF"/>
    <w:pPr>
      <w:tabs>
        <w:tab w:val="right" w:leader="dot" w:pos="9637"/>
      </w:tabs>
      <w:spacing w:after="100"/>
    </w:pPr>
  </w:style>
  <w:style w:type="character" w:styleId="ab">
    <w:name w:val="Hyperlink"/>
    <w:basedOn w:val="a0"/>
    <w:uiPriority w:val="99"/>
    <w:unhideWhenUsed/>
    <w:rsid w:val="00700B4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391B-F708-4B83-9B5B-2A29830B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2022-12-27T07:36:00Z</dcterms:created>
  <dcterms:modified xsi:type="dcterms:W3CDTF">2023-01-24T05:26:00Z</dcterms:modified>
</cp:coreProperties>
</file>