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г. N 368/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ОЦЕНКИ КОНКУРСНЫХ ЗАЯВОК МУНИЦИПАЛЬНЫХ ОБРАЗОВАНИЙ,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ПРЕДСТАВЛЯЕМЫХ ДЛЯ УЧАСТИЯ В НОМИНАЦИИ "МОДЕРНИЗАЦИЯ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ХОЗЯЙСТВА ПОСРЕДСТВОМ ВНЕДРЕНИЯ ЦИФРОВЫХ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ТЕХНОЛОГИЙ И ПЛАТФОРМЕННЫХ РЕШЕНИЙ ("УМНЫЙ ГОРОД")"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 "ЛУЧШАЯ МУНИЦИПАЛЬНАЯ ПРАКТИКА"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Настоящей Методикой определяется порядок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(далее - конкурсная заявка).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"Модернизация городского хозяйства посредством внедрения цифровых технологий и платформенных решений ("умный город")" (далее - Подкомиссия).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Подкомиссия оценивает конкурсные заявки путем присвоения баллов по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раздела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конкурсной заявки на основании показателей, предусмотренных </w:t>
      </w:r>
      <w:hyperlink w:anchor="Par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Методике (далее - Приложение).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Показатели определяются с учетом следующего: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>
        <w:rPr>
          <w:rFonts w:ascii="Times New Roman" w:hAnsi="Times New Roman" w:cs="Times New Roman"/>
          <w:sz w:val="24"/>
          <w:szCs w:val="24"/>
        </w:rPr>
        <w:t xml:space="preserve">а) показателям, предусмотренным </w:t>
      </w:r>
      <w:hyperlink w:anchor="Par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4.1.4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Приложения, членами Подкомиссии присваиваются баллы в диапазоне, указанном в </w:t>
      </w:r>
      <w:hyperlink w:anchor="Par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>, в зависимости от того в какой степени, по мнению члена Подкомиссии, данный показатель применим к оцениваемой практике;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r>
        <w:rPr>
          <w:rFonts w:ascii="Times New Roman" w:hAnsi="Times New Roman" w:cs="Times New Roman"/>
          <w:sz w:val="24"/>
          <w:szCs w:val="24"/>
        </w:rPr>
        <w:t xml:space="preserve">б) показателям, предусмотренным </w:t>
      </w:r>
      <w:hyperlink w:anchor="Par1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3.3.1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Приложения, присваиваются баллы в соответствии с долей внебюджетных средств в общей стоимости практики. Показатели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показателям, предусмотренным </w:t>
      </w:r>
      <w:hyperlink w:anchor="Par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1.4.1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Приложения, в случае положительного ответа присваивается 5 баллов, в случае отрицательного - 0;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показателям, предусмотренным </w:t>
      </w:r>
      <w:hyperlink w:anchor="Par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3.1.22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Приложения, в случае положительного ответа присваивается 10 баллов, в случае отрицательного - 0;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"/>
      <w:bookmarkEnd w:id="3"/>
      <w:r>
        <w:rPr>
          <w:rFonts w:ascii="Times New Roman" w:hAnsi="Times New Roman" w:cs="Times New Roman"/>
          <w:sz w:val="24"/>
          <w:szCs w:val="24"/>
        </w:rPr>
        <w:t xml:space="preserve">д) показателю </w:t>
      </w:r>
      <w:hyperlink w:anchor="Par1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присваиваются баллы в соответствии со следующими требованиями: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практика является системообразующей для внедрения других решений "умного города" и предполагает в дальнейшем интеграцию с ними - 10 баллов;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практика не является системообразующей для внедрения других решений "умного города", но интегрируется с системообразующими проектами - 8 баллов;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практика не является системообразующей для внедрения других решений "умного города", не интегрируется с системообразующими проектами, но интегрируется с другими точечными решениями "умного города" - 6 баллов;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практика не связана с другими решениями "умного города" или материалы заявки не позволяют оценить значение данного критерия - 0 баллов.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Итоговая сумма баллов по конкурсной заявке рассчитывается по следующей формуле: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5"/>
          <w:sz w:val="24"/>
          <w:szCs w:val="24"/>
          <w:lang w:eastAsia="ru-RU"/>
        </w:rPr>
        <w:drawing>
          <wp:inline distT="0" distB="0" distL="0" distR="0">
            <wp:extent cx="1371600" cy="733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итоговая сумма баллов по i-ой конкурсной заявке;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количество членов подкомиссии, оценивших конкурсную заявку;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483235" cy="517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сумма баллов, выставленных членами подкомиссии по заявке i-ого муниципального образования по 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подпункту "а"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9553EE" w:rsidRDefault="009553EE" w:rsidP="009553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414020" cy="301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сумма баллов, выставленных членами подкомиссии по заявке i-ого муниципального образования по </w:t>
      </w:r>
      <w:hyperlink w:anchor="Par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"д"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оценки конкурсных заявок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образований для участия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"Модернизация городского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посредством внедрения цифровых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 и платформенных решений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("умный город")" Всероссийского конкурса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"Лучшая муниципальная практика"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9"/>
      <w:bookmarkEnd w:id="4"/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ОЦЕНКИ КОНКУРСНЫХ ЗАЯВОК МУНИЦИПАЛЬНЫХ ОБРАЗОВАНИЙ,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ПРЕДСТАВЛЯЕМЫХ ДЛЯ УЧАСТИЯ В НОМИНАЦИИ "МОДЕРНИЗАЦИЯ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ХОЗЯЙСТВА ПОСРЕДСТВОМ ВНЕДРЕНИЯ ЦИФРОВЫХ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ТЕХНОЛОГИЙ И ПЛАТФОРМЕННЫХ РЕШЕНИЙ ("УМНЫЙ ГОРОД")"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 "ЛУЧШАЯ МУНИЦИПАЛЬНАЯ ПРАКТИКА"</w:t>
      </w:r>
    </w:p>
    <w:p w:rsidR="009553EE" w:rsidRDefault="009553EE" w:rsidP="0095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4648"/>
        <w:gridCol w:w="907"/>
      </w:tblGrid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показателя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Комплексность практики, обоснованность выбора проблемы с точки зрения стратегического развития муниципального образования, синхронизация практики и мероприятий национальных проектов (программ)</w:t>
            </w:r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задачам развития муниципального образования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5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1.1.1. Практика обеспечила решение задачи или задач развития муниципального образования, определенных планом развития муниципального образования (концепция, стратегия, генеральный 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Практика реализована в связи с необходимостью решения актуальной проблемы в области модернизации городского хозяйства посредством внедрения цифровых технологий и платформенных решений "умный город", развития и эффективного управления жилищно-коммунальным хозяйством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9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1.1.3. Практика реализована в целях общего повышения качества жизни на территории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Синхронизация мероприятий, связанных с реализацией практики, с мероприятиями, реализуемыми на территории муниципального образования в рамках национальных проектов (программ), государственных и муниципальных проектов (программ) и иных проектов (программ)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3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1.2.1. В рамках практики реализуются мероприятия одного или нескольких национальных проектов (программ), государственных или муниципальных проектов (программ), иных проектов (программ)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индекс IQ городов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7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1.3.1. Увеличение индекса IQ в муниципальном образовании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практики на решение приоритетных социальных проблем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8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1.4.1. Реализованная практика решает проблему вовлечения жителей в процессы принятия решений в области развития муниципальных образований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8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1.4.2. Реализованная практика способствует решению проблем маломобильных групп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1.4.3. Реализованная практика способствует увеличению уровня безопасности в муниципальном образовании (снижение количества 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происшествий, повлекших смерть человека, снижение уровня преступности)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7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1.4.4. Практика способствует улучшению экологической ситуации на территории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в рамках реализации практики</w:t>
            </w:r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предлагаемых решений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93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Практика реализована с использованием цифровых "сквозных" технологий, определенных в соответствии с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 мая 2019 г. N 549 "О государственной поддержке компаний - лидеров по разработке продуктов, сервисов и платформенных решений на базе "сквозных" цифровых технологий"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95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2.1.2. Практика реализована на основе анализа информации, полученной посредством сбора, направления официального запроса и/или из открытых источников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99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2.2.1. Реализованная практика решает проблему доступности информации, необходимой для принятия управленческих и проектных решений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01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2.2.2. Реализованная практика является основой для дальнейшего внедрения других решений "умного города"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03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2.2.3. Практика является уникальной для муниципального образования, субъекта Российской Федерации и учитывает зарубежный и российский опыт по решению аналогичных проблем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05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2.2.4. Реализация практики способствовала ускорению процессов внедрения цифровых сервисов (системы умных датчиков, базовая IT-инфраструктура и иных технологий)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07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Реализованная практика способствует системному анализу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внедренных управленческих или проектных решений посредством визуализации и анализа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09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2.2.6. Практика способствует развитию цифровых "сквозных" технологий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высокого социального и экономического результатов от реализации практики</w:t>
            </w:r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положительные результаты реализации практики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15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3.1.1. Практика реализована по инициативе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 Практика реализована при участии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 Жители, представители общественных организаций, представители малого и среднего предпринимательства принимали участие в разработке конкретных проектных решений или выборе вариантов проектных решений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 Жители, представители общественных организаций, представители малого и среднего предпринимательства принимали участие во внедрении практики, ее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23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3.1.5. Практика реализована при участии студентов и молодых специалистов, обучающихся или закончивших обучение по специальностям, связанным с информационными технологиями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25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3.1.6. Реализация практики позволила сэкономить время жителей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27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>3.1.7. Реализация практики способствует увеличению числа жителей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29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3.1.8. Практика реализована с привлечением жителей как исполнителей работ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31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3.1.9. Реализация практики имела результатом улучшение качества жизни и повышение качества управления городом через вовлечение жителей в решение вопросов городского развития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135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3.1.10. Реализация практики способствовала популяризации темы модернизации городского хозяйства посредством внедрения цифровых технологий и платформенных решений "умный город" (проведена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кампания, проект открыт для общественного обсуждения и пр.)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0 - 10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137"/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>3.1.11. Реализация практики повлекла увеличение использования альтернативных видов транспорта, движения пешеходов и сокращение использования личного автомобильного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39"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3.1.12. Реализация практики повлекла снижение уровня потерь энергоресурсов при передаче и распределении, а также аварийности коммунальных сетей, сокращение сроков устранения аварий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41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3.1.13. Реализация практики повлекла сокращение расходов на оплату коммунальных услуг на территории муниципального образования при сохранении качества жизни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3.1.14. Реализация практики повлекла увеличение влияния жителей на принятие решений в сфере городского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3.1.15. Реализация практики обеспечила оперативное реагирование по устранению последствий аварийных ситуаций, в том числе связанных с неблагоприятными погодными условиями, увеличение качества работ, выполненных дорожной и коммунальной техникой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3.1.16. Практика стимулирует повышение заинтересованности жителей в использовании, развитии и благоустройстве общественных пространств при помощи цифровых сервисов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151"/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3.1.17. Реализация практики повысила эффективность городских транспортных систем, повлекла внедрение информационных систем регулирования потока транспортных средств с приоритетом движения общественного и спецтранспорта, пешеходов, управления парковочным пространством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53"/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>3.1.18. Реализация практики повысила уровень безопасности социально-значимых и других городских объектов, обеспечила взаимодействие всех оперативных служб города с использованием платформы единого центра городского 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3.1.19. Реализация практики, посредством цифровых технологий, повысила уровень безопасности жителей, уровень раскрываемости преступлений, оперативности реагирования правоохранительных органов и городских служб экстренной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57"/>
            <w:bookmarkEnd w:id="33"/>
            <w:r>
              <w:rPr>
                <w:rFonts w:ascii="Times New Roman" w:hAnsi="Times New Roman" w:cs="Times New Roman"/>
                <w:sz w:val="24"/>
                <w:szCs w:val="24"/>
              </w:rPr>
              <w:t>3.1.20. Реализация практики, посредством цифровых технологий, повысила уровень экологической безопасности, обеспечила контроль за состоянием качества воды, воздуха, обеспечила бесперебойную работу по вывозу твердых коммунальных отходов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159"/>
            <w:bookmarkEnd w:id="34"/>
            <w:r>
              <w:rPr>
                <w:rFonts w:ascii="Times New Roman" w:hAnsi="Times New Roman" w:cs="Times New Roman"/>
                <w:sz w:val="24"/>
                <w:szCs w:val="24"/>
              </w:rPr>
              <w:t>3.1.21. Реализация практики способствует увеличению туристической привлекательности города, повышению интереса к культурным мероприятиям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553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161"/>
            <w:bookmarkEnd w:id="35"/>
            <w:r>
              <w:rPr>
                <w:rFonts w:ascii="Times New Roman" w:hAnsi="Times New Roman" w:cs="Times New Roman"/>
                <w:sz w:val="24"/>
                <w:szCs w:val="24"/>
              </w:rPr>
              <w:t>3.1.22. Реализация практики способствует упрощению доступа к государственным услугам в сфере жилищно-коммунального хозяйства и городской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практики для бюджета муниципального образования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165"/>
            <w:bookmarkEnd w:id="36"/>
            <w:r>
              <w:rPr>
                <w:rFonts w:ascii="Times New Roman" w:hAnsi="Times New Roman" w:cs="Times New Roman"/>
                <w:sz w:val="24"/>
                <w:szCs w:val="24"/>
              </w:rPr>
              <w:t>3.2.1. Реализация практики способствует экономии средств бюджета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Реализация практики способствует увеличению доходов местного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Реализованная практика повысила эффективность сбора местных налогов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Результат практики стимулирует создание новых предприятий внебюджетного сектора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 Прибыль исполнителя не превысила 5% от общего бюджета практики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175"/>
            <w:bookmarkEnd w:id="37"/>
            <w:r>
              <w:rPr>
                <w:rFonts w:ascii="Times New Roman" w:hAnsi="Times New Roman" w:cs="Times New Roman"/>
                <w:sz w:val="24"/>
                <w:szCs w:val="24"/>
              </w:rPr>
              <w:t>3.2.6. В смете практики отсутствуют расходы на приобретение товаров, работ, услуг, не связанных с реализацией практики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внебюджетного финансирования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179"/>
            <w:bookmarkEnd w:id="38"/>
            <w:r>
              <w:rPr>
                <w:rFonts w:ascii="Times New Roman" w:hAnsi="Times New Roman" w:cs="Times New Roman"/>
                <w:sz w:val="24"/>
                <w:szCs w:val="24"/>
              </w:rPr>
              <w:t>3.3.1. 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 Практика реализована с использованием средств фондов местного сообщества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 Практика реализована с привлечением средств граждан (средства самообложения граждан)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183"/>
            <w:bookmarkEnd w:id="39"/>
            <w:r>
              <w:rPr>
                <w:rFonts w:ascii="Times New Roman" w:hAnsi="Times New Roman" w:cs="Times New Roman"/>
                <w:sz w:val="24"/>
                <w:szCs w:val="24"/>
              </w:rPr>
              <w:t>3.3.4. Практика реализована с привлечением частных инвестиций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Выгодополучатели</w:t>
            </w:r>
            <w:proofErr w:type="spellEnd"/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получатели положительных результатов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188"/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>4.1.1. Прямым получателем положительных результатов от реализации практики является муниципальное образование в лице органа местного самоуправления, осуществляющего управление муниципальным хозяйством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Прямыми получателями положительных результатов от реализации практики являются представители малого и среднего предпринимательства в области предоставления услуг населению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 Прямым получателем положительных результатов от реализации практики является идентифицируемая группа лиц (например, маломобильные группы населения)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194"/>
            <w:bookmarkEnd w:id="41"/>
            <w:r>
              <w:rPr>
                <w:rFonts w:ascii="Times New Roman" w:hAnsi="Times New Roman" w:cs="Times New Roman"/>
                <w:sz w:val="24"/>
                <w:szCs w:val="24"/>
              </w:rPr>
              <w:t>4.1.4. Прямыми получателями положительных результатов являются все жители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</w:p>
        </w:tc>
      </w:tr>
      <w:tr w:rsidR="00955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200"/>
            <w:bookmarkEnd w:id="42"/>
            <w:r>
              <w:rPr>
                <w:rFonts w:ascii="Times New Roman" w:hAnsi="Times New Roman" w:cs="Times New Roman"/>
                <w:sz w:val="24"/>
                <w:szCs w:val="24"/>
              </w:rPr>
              <w:t>5.1.1. Реализованная практика позволяет решить проблему или комплекс проблем, типичных для муниципального образования, группы муниципальных образований, субъекта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955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Подготовленность практики к тиражированию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204"/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>5.2.1. Презентационные материалы отличаются наглядностью и высоким качеством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 Представлен перечень мероприятий, реализованных для внедрения практики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208"/>
            <w:bookmarkEnd w:id="44"/>
            <w:r>
              <w:rPr>
                <w:rFonts w:ascii="Times New Roman" w:hAnsi="Times New Roman" w:cs="Times New Roman"/>
                <w:sz w:val="24"/>
                <w:szCs w:val="24"/>
              </w:rPr>
              <w:t>5.2.3. Представлен перечень мероприятий, планируемых в целях дальнейшего развития практики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E" w:rsidRDefault="0095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0CAE" w:rsidRPr="0077191C" w:rsidRDefault="00A90CAE">
      <w:pPr>
        <w:rPr>
          <w:rFonts w:ascii="Times New Roman" w:hAnsi="Times New Roman" w:cs="Times New Roman"/>
          <w:sz w:val="24"/>
          <w:szCs w:val="24"/>
        </w:rPr>
      </w:pPr>
    </w:p>
    <w:sectPr w:rsidR="00A90CAE" w:rsidRPr="0077191C" w:rsidSect="00623F35">
      <w:pgSz w:w="11905" w:h="16838"/>
      <w:pgMar w:top="1020" w:right="850" w:bottom="73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C"/>
    <w:rsid w:val="0077191C"/>
    <w:rsid w:val="009553EE"/>
    <w:rsid w:val="009D4BA3"/>
    <w:rsid w:val="00A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525A-F192-44AD-A0B5-325EF46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4BAAB8B1F80EC96359B7D77245A2BC527797A0DC9C92F5619ADBFCAFFE8B500B2C2B3A4B70137E4944B7CBE3376C2585752AA6A91FDC2EH4D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44BAAB8B1F80EC96359B7D77245A2BC527797A0DC9C92F5619ADBFCAFFE8B500B2C2B3A4B7013774C44B7CBE3376C2585752AA6A91FDC2EH4DBK" TargetMode="External"/><Relationship Id="rId9" Type="http://schemas.openxmlformats.org/officeDocument/2006/relationships/hyperlink" Target="consultantplus://offline/ref=F44BAAB8B1F80EC96359B7D77245A2BC527798AFDD9492F5619ADBFCAFFE8B50192C733649770C774A51E19AA5H6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Кужанбаева Анна Геннадьевна</dc:creator>
  <cp:keywords/>
  <dc:description/>
  <cp:lastModifiedBy>Кужанбаева Анна Геннадьевна</cp:lastModifiedBy>
  <cp:revision>2</cp:revision>
  <dcterms:created xsi:type="dcterms:W3CDTF">2021-05-27T10:04:00Z</dcterms:created>
  <dcterms:modified xsi:type="dcterms:W3CDTF">2021-05-27T10:04:00Z</dcterms:modified>
</cp:coreProperties>
</file>