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Федерального агентства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национальностей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23.06.2020 N 76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МЕТОДИКА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КОНКУРСНЫХ ЗАЯВОК МУНИЦИПАЛЬНЫХ ОБРАЗОВАНИЙ,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ПРЕДСТАВЛЯЕМЫХ ДЛЯ УЧАСТИЯ ВО ВСЕРОССИЙСКОМ КОНКУРСЕ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"ЛУЧШАЯ МУНИЦИПАЛЬНАЯ ПРАКТИКА" ПО НОМИНАЦИИ "УКРЕПЛЕНИЕ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МЕЖНАЦИОНАЛЬНОГО МИРА И СОГЛАСИЯ, РЕАЛИЗАЦИЯ ИНЫХ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В СФЕРЕ НАЦИОНАЛЬНОЙ ПОЛИТИКИ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МУНИЦИПАЛЬНОМ УРОВНЕ"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Настоящей методикой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конкурсных заявок осуществляется по каждой категории участников конкурса, указанных в </w:t>
      </w:r>
      <w:hyperlink r:id="rId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vertAlign w:val="subscript"/>
        </w:rPr>
        <w:t>рег</w:t>
      </w:r>
      <w:proofErr w:type="spellEnd"/>
      <w:r>
        <w:rPr>
          <w:rFonts w:ascii="Calibri" w:hAnsi="Calibri" w:cs="Calibri"/>
        </w:rPr>
        <w:t xml:space="preserve"> = П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x К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+ П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x К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+ П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x К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 xml:space="preserve"> + П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 xml:space="preserve"> x К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>,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>, П</w:t>
      </w:r>
      <w:r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>, П</w:t>
      </w:r>
      <w:r>
        <w:rPr>
          <w:rFonts w:ascii="Calibri" w:hAnsi="Calibri" w:cs="Calibri"/>
          <w:vertAlign w:val="subscript"/>
        </w:rPr>
        <w:t>3</w:t>
      </w:r>
      <w:r>
        <w:rPr>
          <w:rFonts w:ascii="Calibri" w:hAnsi="Calibri" w:cs="Calibri"/>
        </w:rPr>
        <w:t>, П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 xml:space="preserve"> - значения показателей, предусмотренных соответственно </w:t>
      </w:r>
      <w:hyperlink w:anchor="Par7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rFonts w:ascii="Calibri" w:hAnsi="Calibri" w:cs="Calibri"/>
          <w:vertAlign w:val="subscript"/>
        </w:rPr>
        <w:t>1</w:t>
      </w:r>
      <w:r>
        <w:rPr>
          <w:rFonts w:ascii="Calibri" w:hAnsi="Calibri" w:cs="Calibri"/>
        </w:rPr>
        <w:t xml:space="preserve"> - К</w:t>
      </w:r>
      <w:r>
        <w:rPr>
          <w:rFonts w:ascii="Calibri" w:hAnsi="Calibri" w:cs="Calibri"/>
          <w:vertAlign w:val="subscript"/>
        </w:rPr>
        <w:t>4</w:t>
      </w:r>
      <w:r>
        <w:rPr>
          <w:rFonts w:ascii="Calibri" w:hAnsi="Calibri" w:cs="Calibri"/>
        </w:rPr>
        <w:t xml:space="preserve"> - коэффициенты соответствующих показателей, предусмотренные </w:t>
      </w:r>
      <w:hyperlink w:anchor="Par64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ar64" w:history="1">
        <w:r>
          <w:rPr>
            <w:rFonts w:ascii="Calibri" w:hAnsi="Calibri" w:cs="Calibri"/>
            <w:color w:val="0000FF"/>
          </w:rPr>
          <w:t>приложением к</w:t>
        </w:r>
      </w:hyperlink>
      <w:r>
        <w:rPr>
          <w:rFonts w:ascii="Calibri" w:hAnsi="Calibri" w:cs="Calibri"/>
        </w:rPr>
        <w:t xml:space="preserve"> настоящей методике.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Конкурсная заявка подается на каждого победителя регионального этапа и включает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</w:t>
      </w:r>
      <w:r>
        <w:rPr>
          <w:rFonts w:ascii="Calibri" w:hAnsi="Calibri" w:cs="Calibri"/>
        </w:rPr>
        <w:lastRenderedPageBreak/>
        <w:t>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ar1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методики, по убыванию количества набранных баллов.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методики наибольшее количество баллов, и рассчитывается по формуле: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vertAlign w:val="subscript"/>
        </w:rPr>
        <w:t>фед</w:t>
      </w:r>
      <w:proofErr w:type="spellEnd"/>
      <w:r>
        <w:rPr>
          <w:rFonts w:ascii="Calibri" w:hAnsi="Calibri" w:cs="Calibri"/>
        </w:rPr>
        <w:t xml:space="preserve"> = 0,8 x </w:t>
      </w:r>
      <w:proofErr w:type="spellStart"/>
      <w:r>
        <w:rPr>
          <w:rFonts w:ascii="Calibri" w:hAnsi="Calibri" w:cs="Calibri"/>
        </w:rPr>
        <w:t>К</w:t>
      </w:r>
      <w:r>
        <w:rPr>
          <w:rFonts w:ascii="Calibri" w:hAnsi="Calibri" w:cs="Calibri"/>
          <w:vertAlign w:val="subscript"/>
        </w:rPr>
        <w:t>рег</w:t>
      </w:r>
      <w:proofErr w:type="spellEnd"/>
      <w:r>
        <w:rPr>
          <w:rFonts w:ascii="Calibri" w:hAnsi="Calibri" w:cs="Calibri"/>
        </w:rPr>
        <w:t xml:space="preserve"> + 0,2 x </w:t>
      </w:r>
      <w:proofErr w:type="spellStart"/>
      <w:r>
        <w:rPr>
          <w:rFonts w:ascii="Calibri" w:hAnsi="Calibri" w:cs="Calibri"/>
        </w:rPr>
        <w:t>О</w:t>
      </w:r>
      <w:r>
        <w:rPr>
          <w:rFonts w:ascii="Calibri" w:hAnsi="Calibri" w:cs="Calibri"/>
          <w:vertAlign w:val="subscript"/>
        </w:rPr>
        <w:t>э</w:t>
      </w:r>
      <w:proofErr w:type="spellEnd"/>
      <w:r>
        <w:rPr>
          <w:rFonts w:ascii="Calibri" w:hAnsi="Calibri" w:cs="Calibri"/>
        </w:rPr>
        <w:t>,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О</w:t>
      </w:r>
      <w:r>
        <w:rPr>
          <w:rFonts w:ascii="Calibri" w:hAnsi="Calibri" w:cs="Calibri"/>
          <w:vertAlign w:val="subscript"/>
        </w:rPr>
        <w:t>э</w:t>
      </w:r>
      <w:proofErr w:type="spellEnd"/>
      <w:r>
        <w:rPr>
          <w:rFonts w:ascii="Calibri" w:hAnsi="Calibri" w:cs="Calibri"/>
        </w:rPr>
        <w:t xml:space="preserve"> - значение экспертной оценки конкурсной заявки.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9"/>
          <w:lang w:eastAsia="ru-RU"/>
        </w:rPr>
        <w:drawing>
          <wp:inline distT="0" distB="0" distL="0" distR="0">
            <wp:extent cx="897255" cy="517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общее число опросных листов, заполненных членами подкомиссии;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значение экспертной оценки конкурсной заявки i-м членом подкомиссии (от 1 до 10 баллов), при этом лучшей, по мнению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члена подкомиссии, конкурсной заявке присваивается наибольшее количество баллов.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выставлении экспертной оценки членами подкомиссии учитываются следующие факторы: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уникальные преимущества и сильные стороны практики, выделяющие ее из ряда подобных;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алгоритмы (последовательность) действий по внедрению практики;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ресурсы (материальные и нематериальные средства), которые необходимы для реализации практики;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повторения (тиражирования) практики в других муниципальных образованиях;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риски, которые необходимо принять во внимание при использовании практики.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каждой категории участников конкурса определяется по 3 победителя конкурса, набравших наибольшее количество баллов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настоящей методики, среди которых распределяются первое - третье места победителей конкурса.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bookmarkEnd w:id="3"/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конкурсных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заявок муниципальных образований,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представляемых для участия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 Всероссийском конкурсе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"Лучшая муниципальная практика"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номинации "Укрепление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межнационального мира и согласия,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реализация иных мероприятий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национальной политики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муниципальном уровне"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4"/>
      <w:bookmarkEnd w:id="4"/>
      <w:r>
        <w:rPr>
          <w:rFonts w:ascii="Calibri" w:hAnsi="Calibri" w:cs="Calibri"/>
          <w:b/>
          <w:bCs/>
        </w:rPr>
        <w:t>ПЕРЕЧЕНЬ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ПОКАЗАТЕЛЕЙ ДЛЯ ОЦЕНКИ КОНКУРСНЫХ ЗАЯВОК МУНИЦИПАЛЬНЫХ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ОБРАЗОВАНИЙ, ПРЕДСТАВЛЯЕМЫХ ДЛЯ УЧАСТИЯ ВО ВСЕРОССИЙСКОМ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КОНКУРСЕ "ЛУЧШАЯ МУНИЦИПАЛЬНАЯ ПРАКТИКА" ПО НОМИНАЦИИ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"УКРЕПЛЕНИЕ МЕЖНАЦИОНАЛЬНОГО МИРА И СОГЛАСИЯ, РЕАЛИЗАЦИЯ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ИНЫХ МЕРОПРИЯТИЙ В СФЕРЕ НАЦИОНАЛЬНОЙ ПОЛИТИКИ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МУНИЦИПАЛЬНОМ УРОВНЕ"</w:t>
      </w: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D048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(К)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(П)</w:t>
            </w:r>
          </w:p>
        </w:tc>
      </w:tr>
      <w:tr w:rsidR="00D048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76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проблемы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= 1.1. + 1.2. + 1.3. + 1.4. + 1.5. + 1.6. + 1.7. + 1.8. = &lt;...&gt; </w:t>
            </w:r>
            <w:hyperlink w:anchor="Par1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, где: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1.6. Реализованная практика обеспечила решение конкретной задачи в сфере патриотического воспитания, способствовала </w:t>
            </w:r>
            <w:r>
              <w:rPr>
                <w:rFonts w:ascii="Calibri" w:hAnsi="Calibri" w:cs="Calibri"/>
              </w:rPr>
              <w:lastRenderedPageBreak/>
              <w:t>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D048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практики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vertAlign w:val="subscript"/>
              </w:rPr>
              <w:t>2</w:t>
            </w:r>
            <w:r>
              <w:rPr>
                <w:rFonts w:ascii="Calibri" w:hAnsi="Calibri" w:cs="Calibri"/>
              </w:rP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где: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Реализованная практика тиражируема (да = 25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2.11. Реализованная практика способствовала популяризации и распространению классических и современных произведений </w:t>
            </w:r>
            <w:r>
              <w:rPr>
                <w:rFonts w:ascii="Calibri" w:hAnsi="Calibri" w:cs="Calibri"/>
              </w:rPr>
              <w:lastRenderedPageBreak/>
              <w:t>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>
              <w:rPr>
                <w:rFonts w:ascii="Calibri" w:hAnsi="Calibri" w:cs="Calibri"/>
              </w:rPr>
              <w:t>этнопарков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этнодеревень</w:t>
            </w:r>
            <w:proofErr w:type="spellEnd"/>
            <w:r>
              <w:rPr>
                <w:rFonts w:ascii="Calibri" w:hAnsi="Calibri" w:cs="Calibri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D048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внедрения практики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vertAlign w:val="subscript"/>
              </w:rPr>
              <w:t>3</w:t>
            </w:r>
            <w:r>
              <w:rPr>
                <w:rFonts w:ascii="Calibri" w:hAnsi="Calibri" w:cs="Calibri"/>
              </w:rPr>
              <w:t xml:space="preserve"> = 3.1. + 3.2. + 3.3. + 3.4. + 3.5. + 3.6. + 3.7. + 3.8. + 3.9. = &lt;...&gt;, где: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Практика реализована с привлечением образовательных организаций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Практика реализована с привлечением спортивных организаций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Практика реализована с привлечением учреждений культуры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D048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28"/>
            <w:bookmarkEnd w:id="6"/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 от реализации практики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>
              <w:rPr>
                <w:rFonts w:ascii="Calibri" w:hAnsi="Calibri" w:cs="Calibri"/>
                <w:vertAlign w:val="subscript"/>
              </w:rPr>
              <w:t>4</w:t>
            </w:r>
            <w:r>
              <w:rPr>
                <w:rFonts w:ascii="Calibri" w:hAnsi="Calibri" w:cs="Calibri"/>
              </w:rPr>
              <w:t xml:space="preserve"> = 4.1. + 4.2 = &lt;...&gt;, где: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D048E6" w:rsidRDefault="00D04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Поставленная задача решена полностью (да = 20 баллов, нет = 0 баллов).</w:t>
            </w:r>
          </w:p>
        </w:tc>
      </w:tr>
    </w:tbl>
    <w:p w:rsidR="00D048E6" w:rsidRDefault="00D048E6" w:rsidP="00D048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48E6" w:rsidRDefault="00D048E6" w:rsidP="00D04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48E6" w:rsidRDefault="00D048E6" w:rsidP="00D048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36"/>
      <w:bookmarkEnd w:id="7"/>
      <w:r>
        <w:rPr>
          <w:rFonts w:ascii="Calibri" w:hAnsi="Calibri" w:cs="Calibri"/>
        </w:rPr>
        <w:t>&lt;1&gt; Здесь и далее вместо обозначения "&lt;...&gt;" указываются соответствующие значения.</w:t>
      </w:r>
    </w:p>
    <w:p w:rsidR="00A90CAE" w:rsidRPr="00D048E6" w:rsidRDefault="00A90CAE" w:rsidP="00D048E6"/>
    <w:sectPr w:rsidR="00A90CAE" w:rsidRPr="00D048E6" w:rsidSect="00623F35">
      <w:pgSz w:w="11905" w:h="16838"/>
      <w:pgMar w:top="1020" w:right="850" w:bottom="7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C"/>
    <w:rsid w:val="00093241"/>
    <w:rsid w:val="0077191C"/>
    <w:rsid w:val="009553EE"/>
    <w:rsid w:val="009D4BA3"/>
    <w:rsid w:val="00A90CAE"/>
    <w:rsid w:val="00D048E6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525A-F192-44AD-A0B5-325EF46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BC1AC6A52B2FCE1466BFC76F9F4B5B87455C4A2F441A6F2DF3F81E0A379B9416840A05B7796949C6027786F0C8D269B820FEE06AE7C4k1KAK" TargetMode="External"/><Relationship Id="rId5" Type="http://schemas.openxmlformats.org/officeDocument/2006/relationships/hyperlink" Target="consultantplus://offline/ref=DA9CBC1AC6A52B2FCE1466BFC76F9F4B5B87455C4A2F441A6F2DF3F81E0A379B9416840A05B7796349C6027786F0C8D269B820FEE06AE7C4k1KAK" TargetMode="External"/><Relationship Id="rId4" Type="http://schemas.openxmlformats.org/officeDocument/2006/relationships/hyperlink" Target="consultantplus://offline/ref=DA9CBC1AC6A52B2FCE1466BFC76F9F4B5B87455C4A2F441A6F2DF3F81E0A379B941684090EE328251BC05421DCA5C0CE6CA622kFK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Кужанбаева Анна Геннадьевна</dc:creator>
  <cp:keywords/>
  <dc:description/>
  <cp:lastModifiedBy>Кужанбаева Анна Геннадьевна</cp:lastModifiedBy>
  <cp:revision>2</cp:revision>
  <dcterms:created xsi:type="dcterms:W3CDTF">2021-05-27T10:11:00Z</dcterms:created>
  <dcterms:modified xsi:type="dcterms:W3CDTF">2021-05-27T10:11:00Z</dcterms:modified>
</cp:coreProperties>
</file>