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287"/>
        <w:gridCol w:w="143"/>
        <w:gridCol w:w="430"/>
        <w:gridCol w:w="3152"/>
        <w:gridCol w:w="430"/>
        <w:gridCol w:w="430"/>
        <w:gridCol w:w="143"/>
        <w:gridCol w:w="287"/>
        <w:gridCol w:w="716"/>
        <w:gridCol w:w="287"/>
        <w:gridCol w:w="429"/>
        <w:gridCol w:w="574"/>
        <w:gridCol w:w="143"/>
        <w:gridCol w:w="716"/>
        <w:gridCol w:w="430"/>
        <w:gridCol w:w="287"/>
        <w:gridCol w:w="286"/>
        <w:gridCol w:w="430"/>
        <w:gridCol w:w="143"/>
        <w:gridCol w:w="1147"/>
        <w:gridCol w:w="859"/>
        <w:gridCol w:w="287"/>
        <w:gridCol w:w="1003"/>
        <w:gridCol w:w="143"/>
        <w:gridCol w:w="430"/>
        <w:gridCol w:w="716"/>
        <w:gridCol w:w="860"/>
        <w:gridCol w:w="272"/>
        <w:gridCol w:w="15"/>
      </w:tblGrid>
      <w:tr>
        <w:trPr>
          <w:trHeight w:hRule="exact" w:val="1003"/>
        </w:trPr>
        <w:tc>
          <w:tcPr>
            <w:tcW w:w="15618" w:type="dxa"/>
            <w:gridSpan w:val="30"/>
          </w:tcPr>
          <w:p/>
        </w:tc>
      </w:tr>
      <w:tr>
        <w:trPr>
          <w:trHeight w:hRule="exact" w:val="387"/>
        </w:trPr>
        <w:tc>
          <w:tcPr>
            <w:tcW w:w="15618" w:type="dxa"/>
            <w:gridSpan w:val="3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30"/>
          </w:tcPr>
          <w:p/>
        </w:tc>
      </w:tr>
      <w:tr>
        <w:trPr>
          <w:trHeight w:hRule="exact" w:val="387"/>
        </w:trPr>
        <w:tc>
          <w:tcPr>
            <w:tcW w:w="15618" w:type="dxa"/>
            <w:gridSpan w:val="3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30"/>
          </w:tcPr>
          <w:p/>
        </w:tc>
      </w:tr>
      <w:tr>
        <w:trPr>
          <w:trHeight w:hRule="exact" w:val="573"/>
        </w:trPr>
        <w:tc>
          <w:tcPr>
            <w:tcW w:w="15618" w:type="dxa"/>
            <w:gridSpan w:val="30"/>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Современная школа (Калужская область)</w:t>
            </w:r>
          </w:p>
        </w:tc>
      </w:tr>
      <w:tr>
        <w:trPr>
          <w:trHeight w:hRule="exact" w:val="716"/>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2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Современная школа</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Современная школа (Калужская область)</w:t>
            </w:r>
          </w:p>
        </w:tc>
        <w:tc>
          <w:tcPr>
            <w:tcW w:w="2579"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1863"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863"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r>
      <w:tr>
        <w:trPr>
          <w:trHeight w:hRule="exact" w:val="574"/>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Горобцов К.М.</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Губернатора Калужской области</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А.С.</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С.А.</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r>
      <w:tr>
        <w:trPr>
          <w:trHeight w:hRule="exact" w:val="974"/>
        </w:trPr>
        <w:tc>
          <w:tcPr>
            <w:tcW w:w="4585" w:type="dxa"/>
            <w:gridSpan w:val="6"/>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298" w:type="dxa"/>
            <w:gridSpan w:val="11"/>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305" w:type="dxa"/>
            <w:gridSpan w:val="1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Калужской области "Развитие общего и дополнительного образования в Калужской области"</w:t>
            </w:r>
          </w:p>
        </w:tc>
      </w:tr>
      <w:tr>
        <w:trPr>
          <w:trHeight w:hRule="exact" w:val="444"/>
        </w:trPr>
        <w:tc>
          <w:tcPr>
            <w:tcW w:w="458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8"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305" w:type="dxa"/>
            <w:gridSpan w:val="12"/>
            <w:tcMar>
              <w:top w:w="72" w:type="dxa"/>
              <w:left w:w="72" w:type="dxa"/>
              <w:right w:w="72" w:type="dxa"/>
            </w:tcMar>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430"/>
        </w:trPr>
        <w:tc>
          <w:tcPr>
            <w:tcW w:w="15618"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3"/>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26"/>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27"/>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247"/>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(Калужская область)</w:t>
            </w:r>
          </w:p>
        </w:tc>
      </w:tr>
      <w:tr>
        <w:trPr>
          <w:trHeight w:hRule="exact" w:val="573"/>
        </w:trPr>
        <w:tc>
          <w:tcPr>
            <w:tcW w:w="43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728"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(по ОКЕИ)</w:t>
            </w:r>
          </w:p>
        </w:tc>
        <w:tc>
          <w:tcPr>
            <w:tcW w:w="229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573"/>
        </w:trPr>
        <w:tc>
          <w:tcPr>
            <w:tcW w:w="43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728"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1247"/>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субъектов Российской Федерации, в которых обновлено содержание и методы обучения предметной области "Технология" и других предметных областей, процент</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1,1765</w:t>
            </w:r>
          </w:p>
        </w:tc>
      </w:tr>
      <w:tr>
        <w:trPr>
          <w:trHeight w:hRule="exact" w:val="2034"/>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тыс. единиц</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единиц</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0,0750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0,0750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0,1300</w:t>
            </w:r>
          </w:p>
        </w:tc>
      </w:tr>
      <w:tr>
        <w:trPr>
          <w:trHeight w:hRule="exact" w:val="1505"/>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17,5000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17,5000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19,5000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22,0000</w:t>
            </w:r>
          </w:p>
        </w:tc>
      </w:tr>
      <w:tr>
        <w:trPr>
          <w:trHeight w:hRule="exact" w:val="1504"/>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созданных новых мест в общеобразовательных организациях, расположенных в сельской местности и поселках городского типа, не менее тыс. мест </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мест</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0,0700</w:t>
            </w:r>
          </w:p>
        </w:tc>
      </w:tr>
      <w:tr>
        <w:trPr>
          <w:trHeight w:hRule="exact" w:val="430"/>
        </w:trPr>
        <w:tc>
          <w:tcPr>
            <w:tcW w:w="15618"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573"/>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Задачи и результаты регионального проекта</w:t>
            </w:r>
          </w:p>
        </w:tc>
      </w:tr>
      <w:tr>
        <w:trPr>
          <w:trHeight w:hRule="exact" w:val="573"/>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290"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(по ОКЕИ)</w:t>
            </w:r>
          </w:p>
        </w:tc>
        <w:tc>
          <w:tcPr>
            <w:tcW w:w="4298"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3439"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243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57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3439"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r>
              <w:rPr>
                <w:color w:val="FFFFFF"/>
                <w:sz w:val="7.5"/>
                <w:szCs w:val="7.5"/>
                <w:rFonts w:ascii="Times New Roman" w:hAnsi="Times New Roman" w:eastAsia="Times New Roman" w:cs="Times New Roman"/>
                <w:spacing w:val="-2"/>
              </w:rPr>
              <w:t xml:space="preserve">0</w:t>
            </w:r>
          </w:p>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По итогам отбора предоставлены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 Сформированы методические рекомендации по материально-техническому оснащению и обновлению содержания образования в организациях, осуществляющих образовательную деятельность исключительно по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Приобретение товаров, работ, услуг</w:t>
            </w:r>
          </w:p>
          <w:p/>
        </w:tc>
      </w:tr>
      <w:tr>
        <w:trPr>
          <w:trHeight w:hRule="exact" w:val="194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адаптированным общеобразовательным программам, с учетом необходимости обеспечения условий для обновления содержания и совершенствования методов обучения предметной области "Технология" и других предметных областей. Проведен мониторинг реализации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соответствии со сформированными методическими рекомендациями. Обеспечено обновление содержания образовательных программ, в том числе по предметной области "Технология" и другим предметным областям, методик преподавания и оценивания результатов освоения образовательных программ, дизайна инфраструктуры, перечня учебного оборудования и учебно-методических комплексов с учетом особых образовательных потребностей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обучающихся в организациях, осуществляющих образовательную деятельность исключительно по адаптированным общеобразовательным программам. 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 К концу 2019 года не менее чем в 130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 созданы условия для реализации дистанционных программ обучения определенных категорий обучающихся.</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2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новые места в общеобразовательных организациях Калужской области для перехода на односменный режим обучения</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Место</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4000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4000</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Строительство (реконструкция, техническое перевооружение, приобретение) объекта недвижимого имущества</w:t>
            </w:r>
          </w:p>
          <w:p/>
        </w:tc>
      </w:tr>
      <w:tr>
        <w:trPr>
          <w:trHeight w:hRule="exact" w:val="387"/>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новые места в общеобразовательных организациях, расположенных в сельской местности и поселках городского типа</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Место</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Реализованы мероприятия региональных программ по модернизации инфраструктуры общего образования (строительство зданий (пристроек к зданию), приобретение (выкуп) зданий (пристроек к зданиям) общеобразовательных организаций, расположенных в сельской местности и поселках городского типа ,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Обеспечено повышение доступности современных условий образования в сельской местности и малых городах за счет ввода к концу 2019 года не менее 4,9 тыс4. новых мест в общеобразовательных организациях, расположенных в сельской местности и поселках городского типа.</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Строительство (реконструкция, техническое перевооружение, приобретение) объекта недвижимого имущества</w:t>
            </w:r>
          </w:p>
          <w:p/>
        </w:tc>
      </w:tr>
      <w:tr>
        <w:trPr>
          <w:trHeight w:hRule="exact" w:val="275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Обеспечена возможность изучать предметную область "Технология" и других предметных областей на базе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Сформирована система мероприятий по формированию новых условий реализации предметной области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организаций, имеющих высокооснащенные ученико-места , в т.ч. детских технопарков "Кванториум" </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"Технология" и других предметных областей, в том числе: утвержден перечень субъектов Российской Федерации, реализующих мероприятия по освоению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 осуществлен отбор через профильную информационную систему результатов инвентаризации инфраструктурных, материально-технических и кадровых ресурсов организаций разного типа, в том числе образовательных, научных организаций, организаций культуры, спорта и реального сектора экономики, потенциально пригодных для реализации предметной области "Технология" и других предметных областей; сформированы методические рекомендации освоения предметной области "Технология" и других предметных областей на базе организаций, имеющих высокооснащенные ученико-</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места, в том числе детских технопарков "Кванториум"; обеспечено обновление содержания примерных общеобразовательных программ по предметной области "Технология"; к концу 2019 года не менее чем в 10 субъектах Российской Федерации изучение предметной области "Технология" и других предметных областей осуществляется на базе высокотехнологичных организаций, в том числе детских технопарков "Кванториум", с привлечением обучающихся школ различного типа, в том числе школ, работающих в неблагоприятных социальных условиях.</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Во всех муниципальных образованиях Калужской области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186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02"/>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образования, предприятий реального сектора экономики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муниципальных образований Калужской области</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концу 2022 года внедрены обновленные примерные основные общеобразовательные программы, разработанные в рамках федерального проекта, в общеобразовательные организации всех субъектов Российской Федерации, что позволит повысить качество преподавания всех предметных областей, обеспечить соответствие условий обучения современным требованиям, компетенциям и знаниям, а также будет способствовать достижению главных целевых установок реализации настоящего федерального проекта и национального проекта "Образование" в целом. Проведен мониторинг использования обновленных федеральных государственных образовательных стандартов общего образования, в том числе требований к результатам освоения образовательной программы общего образования.</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235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4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8"/>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70% обучающихся общеобразовательных организаций вовлечены в различные формы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соответствии с разработанной методологией наставничества обучающихся общеобразовательных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429"/>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сопровождения и наставничества </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обучающихся общеобразовательных организаций вовлечены в различные формы сопровождения и наставничества (2019 г. - 3 % обучающихся; 2020 г. - 10 % обучающихся; 2021 г. - 20 % обучающихся; 2022 г. - 35 % обучающихся; 2023 г. - 50 % обучающихся; 2024 г. - 70 % обучающихся), что позволит создать условия для формирования активной гражданской позиции у каждого обучающегося, а также достичь цели и целевых показателей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Разработаны и внедрены программы менторства и наставничества для обучающихся в рамках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взаимодействия с предприятиями субъектов Российской Федерации.</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К концу 2024 года не менее чем 70 %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 Реализация мероприятий федерального проекта будет направлена на повышение доступности качественного, вариативного образования, что позволит поэтапно достичь следующих результатов охвата организаций, реализующих программы начального, основного и среднего общего образования - реализуют общеобразовательные программы в сетевой форме, накопительным итогом: 2019 г. – 3 % организаций; 2020 г. – 10 % организаций; 2021 г. – 20 % организаций; 2022 г. – 35 % организаций; 2023 г. – 50 % организаций; 2024 г. – 70 % организаций.</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286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3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9"/>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1547"/>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чем в 70%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концу 2024 года не менее чем в 70% общеобразовательных организаций обеспечено вовлечение общественно-деловых объединений и участие представителей работодателей в принятии решений по вопросам управления развитием общеобразовательных организаций.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153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единиц</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0.075</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0.075</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0.075</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0.075</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По итогам отбора предоставлены субсидии из федерального бюджета бюджетам субъектов Российской Федерации на создание материально-технической базы9 для реализации основных и дополнительных общеобразовательных программ цифрового, технического, естественнонаучного и гуманитарного профилей в школах, расположенных в сельской местности и малых городах. Проведен отбор заявок и заключение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Приобретение товаров, работ, услуг</w:t>
            </w:r>
          </w:p>
          <w:p/>
        </w:tc>
      </w:tr>
      <w:tr>
        <w:trPr>
          <w:trHeight w:hRule="exact" w:val="18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финансовое обеспечение мероприятий по созданию материально-технической базы для реализации основных и дополнительных общеобразовательных программ цифрового и гуманитарного профилей, в том числе технического и естественнонаучного, в школах, расположенных в сельской местности и малых городах, в том числе школах, работающих в неблагоприятных социальных условиях. Обеспечено обновление содержания образовательных программ, методик преподавания и оценивания результатов освоения образовательных программ, дизайна инфраструктуры, перечня средств обучения и учебно-методических комплексов. 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 К концу 2024 года не менее чем в 16 тыс. школ, расположенных в сельской местности и малых городах, не менее чем в 80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субъектах Российской Федерации создана материально-техническая база9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 в том числе в школах, работающих в неблагоприятных социальных условиях, в том числе:в 2019 году - в не менее, чем 2 тыс. школ с охватом не менее 100 тыс. детей;в 2020 году - в не менее, чем 5 тыс. школ с охватом не менее 250 тыс. детей;в 2021 году - в не менее, чем 8 тыс. школ с охватом не менее 400 тыс. детей;в 2022 году - в не менее, чем 11 тыс. школ с охватом не менее 550 тыс. детей;в 2023 году - в не менее, чем 13,5 тыс. школ с охватом не менее 700 тыс. детей.Значение количества организаций, в которых создается материально-техническая база для реализации основных и дополнительных общеобразовательных программ цифрового и гуманитарного профилей, в том числе технического и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1677"/>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естественнонаучного, в школах, расположенных в сельской местности и малых городах,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193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Внедрены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44"/>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подготовки обучающихся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Внедрены методические рекомендации по системе функционирования психологических служб в общеобразовательных организациях, сформированные на 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192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153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100 % организаций, реализующих общеобразовательные программы и находящихся на территории Калужской области, проведена оценка качества общего образования на основе практики международных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702"/>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исследований качества подготовки обучающихся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"гибких компетенций", и примерные основные общеобразовательные программы </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180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 мониторинг внедрения обновленных примерных основных общеобразовательных программ, разработанных в рамках федерального проекта</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1218"/>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Создание современной образовательной среды, обеспечивающей качество общего образования</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Приобретение товаров, работ, услуг</w:t>
            </w:r>
          </w:p>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860"/>
        <w:gridCol w:w="143"/>
        <w:gridCol w:w="4442"/>
        <w:gridCol w:w="1432"/>
        <w:gridCol w:w="1433"/>
        <w:gridCol w:w="1433"/>
        <w:gridCol w:w="1433"/>
        <w:gridCol w:w="1433"/>
        <w:gridCol w:w="1432"/>
        <w:gridCol w:w="1577"/>
        <w:gridCol w:w="14"/>
      </w:tblGrid>
      <w:tr>
        <w:trPr>
          <w:trHeight w:hRule="exact" w:val="430"/>
        </w:trPr>
        <w:tc>
          <w:tcPr>
            <w:tcW w:w="15618"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14" w:type="dxa"/>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9"/>
            <w:vAlign w:val="center"/>
            <w:shd w:val="clear" w:color="auto" w:fill="auto"/>
          </w:tcPr>
          <w:p/>
        </w:tc>
        <w:tc>
          <w:tcPr>
            <w:tcW w:w="14" w:type="dxa"/>
          </w:tcPr>
          <w:p/>
        </w:tc>
      </w:tr>
      <w:tr>
        <w:trPr>
          <w:trHeight w:hRule="exact" w:val="430"/>
        </w:trPr>
        <w:tc>
          <w:tcPr>
            <w:tcW w:w="15618" w:type="dxa"/>
            <w:gridSpan w:val="1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c>
          <w:tcPr>
            <w:tcW w:w="14" w:type="dxa"/>
          </w:tcPr>
          <w:p/>
        </w:tc>
      </w:tr>
      <w:tr>
        <w:trPr>
          <w:trHeight w:hRule="exact" w:val="430"/>
        </w:trPr>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14" w:type="dxa"/>
            <w:tcBorders>
              <w:left w:val="single" w:sz="5" w:space="0" w:color="000000"/>
            </w:tcBorders>
          </w:tcPr>
          <w:p/>
        </w:tc>
      </w:tr>
      <w:tr>
        <w:trPr>
          <w:trHeight w:hRule="exact" w:val="286"/>
        </w:trPr>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16 318,85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7 815,10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14 604,17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23 661,25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62 399,37</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16 318,85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7 815,10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14 604,17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23 661,25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62 399,37</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44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новые места в общеобразовательных организациях Калужской области для перехода на односменный режим обучения</w:t>
            </w:r>
          </w:p>
        </w:tc>
        <w:tc>
          <w:tcPr>
            <w:tcW w:w="14" w:type="dxa"/>
            <w:tcBorders>
              <w:left w:val="single" w:sz="5" w:space="0" w:color="000000"/>
            </w:tcBorders>
          </w:tcPr>
          <w:p/>
        </w:tc>
      </w:tr>
      <w:tr>
        <w:trPr>
          <w:trHeight w:hRule="exact" w:val="860"/>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816 163,50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1 802 416,25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341 932,17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346 960,74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3 307 472,67</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816 163,50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1 802 416,25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341 932,17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346 960,74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3 307 472,67</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258"/>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14" w:type="dxa"/>
          </w:tcPr>
          <w:p/>
        </w:tc>
      </w:tr>
      <w:tr>
        <w:trPr>
          <w:trHeight w:hRule="exact" w:val="44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новые места в общеобразовательных организациях, расположенных в сельской местности и поселках городского типа</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107 139,20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107 139,20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107 139,20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107 139,20</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97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 w:type="dxa"/>
            <w:tcBorders>
              <w:left w:val="single" w:sz="5" w:space="0" w:color="000000"/>
            </w:tcBorders>
          </w:tcPr>
          <w:p/>
        </w:tc>
      </w:tr>
      <w:tr>
        <w:trPr>
          <w:trHeight w:hRule="exact" w:val="860"/>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46 916,46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37 189,38</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84 105,83</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46 916,46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37 189,38</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84 105,83</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44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Создание современной образовательной среды, обеспечивающей качество общего образования</w:t>
            </w:r>
          </w:p>
        </w:tc>
        <w:tc>
          <w:tcPr>
            <w:tcW w:w="14" w:type="dxa"/>
            <w:tcBorders>
              <w:left w:val="single" w:sz="5" w:space="0" w:color="000000"/>
            </w:tcBorders>
          </w:tcPr>
          <w:p/>
        </w:tc>
      </w:tr>
      <w:tr>
        <w:trPr>
          <w:trHeight w:hRule="exact" w:val="84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198 254,32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200 000,00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398 254,32</w:t>
            </w: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Pr>
          <w:p/>
        </w:tc>
      </w:tr>
      <w:tr>
        <w:trPr>
          <w:trHeight w:hRule="exact" w:val="158"/>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198 254,32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200 000,00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398 254,32</w:t>
            </w:r>
          </w:p>
        </w:tc>
        <w:tc>
          <w:tcPr>
            <w:tcW w:w="14" w:type="dxa"/>
            <w:tcBorders>
              <w:left w:val="single" w:sz="5" w:space="0" w:color="000000"/>
            </w:tcBorders>
          </w:tcPr>
          <w:p/>
        </w:tc>
      </w:tr>
      <w:tr>
        <w:trPr>
          <w:trHeight w:hRule="exact" w:val="150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1 030 736,67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2 057 147,82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393 725,72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477 761,19</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3 959 371,39</w:t>
            </w:r>
          </w:p>
        </w:tc>
        <w:tc>
          <w:tcPr>
            <w:tcW w:w="14" w:type="dxa"/>
            <w:tcBorders>
              <w:left w:val="single" w:sz="5" w:space="0" w:color="000000"/>
            </w:tcBorders>
          </w:tcPr>
          <w:p/>
        </w:tc>
      </w:tr>
      <w:tr>
        <w:trPr>
          <w:trHeight w:hRule="exact" w:val="717"/>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1 030 736,67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2 057 147,82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393 725,72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477 761,19</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3 959 371,39</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1 030 736,67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2 057 147,82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393 725,72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477 761,19</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3 959 371,39</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1290"/>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бюджеты территориальных государственных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внебюджетных фондов(бюджетам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территориальных фондов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обязательного медицинского страхования) </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bl>
    <w:p>
      <w:pPr>
        <w:sectPr>
          <w:pgSz w:w="16834" w:h="11909" w:orient="landscape"/>
          <w:pgMar w:top="562" w:right="562" w:bottom="512" w:left="562" w:header="562" w:footer="512" w:gutter="0"/>
        </w:sectPr>
      </w:pPr>
    </w:p>
    <w:tbl>
      <w:tblPr>
        <w:tblStyle w:val="a1"/>
        <w:tblW w:w="0" w:type="dxa"/>
        <w:tblLayout w:type="fixed"/>
        <w:tblCellMar>
          <w:top w:w="0" w:type="dxa"/>
          <w:left w:w="0" w:type="dxa"/>
          <w:bottom w:w="0" w:type="dxa"/>
          <w:right w:w="0" w:type="dxa"/>
        </w:tblCellMar>
        <w:tblLook w:val="04A0"/>
      </w:tblPr>
      <w:tblGrid>
        <w:gridCol w:w="573"/>
        <w:gridCol w:w="143"/>
        <w:gridCol w:w="144"/>
        <w:gridCol w:w="3009"/>
        <w:gridCol w:w="1432"/>
        <w:gridCol w:w="717"/>
        <w:gridCol w:w="1433"/>
        <w:gridCol w:w="1432"/>
        <w:gridCol w:w="860"/>
        <w:gridCol w:w="1290"/>
        <w:gridCol w:w="429"/>
        <w:gridCol w:w="1003"/>
        <w:gridCol w:w="3138"/>
        <w:gridCol w:w="15"/>
      </w:tblGrid>
      <w:tr>
        <w:trPr>
          <w:trHeight w:hRule="exact" w:val="430"/>
        </w:trPr>
        <w:tc>
          <w:tcPr>
            <w:tcW w:w="15618" w:type="dxa"/>
            <w:gridSpan w:val="1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30"/>
        </w:trPr>
        <w:tc>
          <w:tcPr>
            <w:tcW w:w="15618"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5.	Перечень методик расчета показателей регионального проекта</w:t>
            </w:r>
          </w:p>
        </w:tc>
      </w:tr>
      <w:tr>
        <w:trPr>
          <w:trHeight w:hRule="exact" w:val="57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целевого, дополнительного показателя</w:t>
            </w:r>
          </w:p>
        </w:tc>
        <w:tc>
          <w:tcPr>
            <w:tcW w:w="143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10317"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и реквизиты документа, которым утверждена методика расчета показателя</w:t>
            </w:r>
          </w:p>
        </w:tc>
      </w:tr>
      <w:tr>
        <w:trPr>
          <w:trHeight w:hRule="exact" w:val="573"/>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Утвердивший орган</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Номер</w:t>
            </w:r>
          </w:p>
        </w:tc>
        <w:tc>
          <w:tcPr>
            <w:tcW w:w="315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Доля субъектов Российской Федерации, в которых обновлено содержание и методы обучения предметной области "Технология" и других предметных областей, процент</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(повышение конкурентоспособности </w:t>
            </w:r>
          </w:p>
        </w:tc>
      </w:tr>
      <w:tr>
        <w:trPr>
          <w:trHeight w:hRule="exact" w:val="26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1762"/>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(повышение </w:t>
            </w:r>
          </w:p>
        </w:tc>
      </w:tr>
      <w:tr>
        <w:trPr>
          <w:trHeight w:hRule="exact" w:val="255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2035"/>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5"/>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тыс. единиц</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единиц</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w:t>
            </w:r>
          </w:p>
        </w:tc>
      </w:tr>
      <w:tr>
        <w:trPr>
          <w:trHeight w:hRule="exact" w:val="240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2292"/>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Число созданных новых мест в общеобразовательных организациях, расположенных в сельской местности и поселках городского типа, не менее тыс. мест </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мест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w:t>
            </w:r>
          </w:p>
        </w:tc>
      </w:tr>
      <w:tr>
        <w:trPr>
          <w:trHeight w:hRule="exact" w:val="227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2564"/>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"Молодые профессионалы (повышение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430"/>
        </w:trPr>
        <w:tc>
          <w:tcPr>
            <w:tcW w:w="15618" w:type="dxa"/>
            <w:gridSpan w:val="1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573"/>
        </w:trPr>
        <w:tc>
          <w:tcPr>
            <w:tcW w:w="11462" w:type="dxa"/>
            <w:gridSpan w:val="11"/>
          </w:tcPr>
          <w:p/>
        </w:tc>
        <w:tc>
          <w:tcPr>
            <w:tcW w:w="4156"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4"/>
        </w:trPr>
        <w:tc>
          <w:tcPr>
            <w:tcW w:w="11462" w:type="dxa"/>
            <w:gridSpan w:val="11"/>
          </w:tcPr>
          <w:p/>
        </w:tc>
        <w:tc>
          <w:tcPr>
            <w:tcW w:w="4156"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Современная школа (Калужская область)</w:t>
            </w:r>
          </w:p>
        </w:tc>
      </w:tr>
      <w:tr>
        <w:trPr>
          <w:trHeight w:hRule="exact" w:val="143"/>
        </w:trPr>
        <w:tc>
          <w:tcPr>
            <w:tcW w:w="860" w:type="dxa"/>
            <w:gridSpan w:val="3"/>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11"/>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6"/>
        </w:trPr>
        <w:tc>
          <w:tcPr>
            <w:tcW w:w="15618"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 по реализации регионального проекта</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"Внедрены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150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опубликован"</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внедрению методологии и критериев оценки качества общего образования в общеобразовательных организациях Калужской области на основе практики международных исследований качества подготовки обучающихся"</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82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"Внедрены методические рекомендации по системе функционирования психологических служб в общеобразовательных организациях, сформированные на основе апробации по созданию условий для психологического сопровождения обучающихся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общеобразовательных организаций не менее чем в 5 субъектах Российской Федерации "</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опубликован"</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опубликован"</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 Создание современной образовательной среды, обеспечивающей качество общего образования "</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"Оборудование введено в эксплуатацию"</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Оборудование приобретено</w:t>
            </w:r>
          </w:p>
          <w:p/>
        </w:tc>
      </w:tr>
      <w:tr>
        <w:trPr>
          <w:trHeight w:hRule="exact" w:val="255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"Во всех муниципальных образованиях Калужской области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43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повышению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муниципальных образований Калужской области"</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концу 2022 года внедрены обновленные примерные основные общеобразовательные программы, разработанные в рамках федерального проекта, в общеобразовательные организации всех субъектов Российской Федерации, что позволит повысить качество преподавания всех предметных областей, обеспечить соответствие условий обучения современным требованиям, компетенциям и знаниям, а также будет способствовать достижению главных целевых установок реализации настоящего федерального проекта и национального проекта "Образование" в целом.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Проведен мониторинг использования обновленных федеральных государственных образовательных стандартов общего образования, в том </w:t>
            </w:r>
          </w:p>
          <w:p/>
        </w:tc>
      </w:tr>
      <w:tr>
        <w:trPr>
          <w:trHeight w:hRule="exact" w:val="16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числе требований к результатам освоения образовательной программы общего образования.</w:t>
            </w:r>
          </w:p>
          <w:p>
            <w:pPr>
              <w:rPr>
                <w:rFonts w:ascii="Times New Roman" w:hAnsi="Times New Roman" w:eastAsia="Times New Roman" w:cs="Times New Roman"/>
                <w:color w:val="000000"/>
                <w:sz w:val="24"/>
                <w:spacing w:val="-2"/>
              </w:rPr>
              <w:spacing w:line="230"/>
              <w:jc w:val="center"/>
            </w:pP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мероприятий по внедрению обновленных примерных основных общеобразовательных программ, разработанных в рамках федерального проекта, в общеобразовательные организации всех муниципальных образований Калужской области"</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76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 100 % организаций, реализующих общеобразовательные программы и находящихся на территории Калужской области, проведена оценка качества общего образования на основе практики международных исследований качества подготовки обучающихся"</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30.04.2024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150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30.04.2024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оценке качества общего образования на основе практики международных исследований качества подготовки обучающихся не менее чем в 25 % организаций, реализующих общеобразовательные программы и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30.04.2021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4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находящихся на территории Калужской области"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оценке качества общего образования на основе практики международных исследований качества подготовки обучающихся не менее чем в 50 % организаций, реализующих общеобразовательные программы и находящихся на территории Калужской области"</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29.04.2022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202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7.1.3</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оценке качества общего образования на основе практики международных исследований качества подготовки обучающихся не менее чем в 75 % организаций, реализующих общеобразовательные программы и находящихся на территории Калужской области"</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28.04.2023</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202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7.1.4</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оценке качества общего образования на основе практики международных исследований качества подготовки обучающихся не менее чем в 100 % организаций, реализующих общеобразовательные программы и находящихся на территории Калужской области"</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30.04.2024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 начальник управления регламентации образовательной деятельности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235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 итогам отбора предоставлены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в том числе для реализации предметной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области "Технология" и других предметных областей в организациях, осуществляющих образовательную деятельность исключительно по </w:t>
            </w:r>
            <w:r>
              <w:rPr>
                <w:i/>
                <w:sz w:val="24"/>
                <w:szCs w:val="24"/>
                <w:rFonts w:ascii="Times New Roman" w:hAnsi="Times New Roman" w:eastAsia="Times New Roman" w:cs="Times New Roman"/>
                <w:spacing w:val="-2"/>
              </w:rPr>
              <w:t xml:space="preserve">адаптированным общеобразовательным программам</w:t>
            </w:r>
            <w:r>
              <w:rPr>
                <w:sz w:val="24"/>
                <w:szCs w:val="24"/>
                <w:rFonts w:ascii="Times New Roman" w:hAnsi="Times New Roman" w:eastAsia="Times New Roman" w:cs="Times New Roman"/>
                <w:spacing w:val="-2"/>
              </w:rPr>
              <w:t xml:space="preserve">. Сформированы методические рекомендации по материально-техническому оснащению и обновлению содержания образования в организациях, осуществляющих образовательную деятельность исключительно по </w:t>
            </w:r>
            <w:r>
              <w:rPr>
                <w:i/>
                <w:sz w:val="24"/>
                <w:szCs w:val="24"/>
                <w:rFonts w:ascii="Times New Roman" w:hAnsi="Times New Roman" w:eastAsia="Times New Roman" w:cs="Times New Roman"/>
                <w:spacing w:val="-2"/>
              </w:rPr>
              <w:t xml:space="preserve">адаптированным общеобразовательным программам, </w:t>
            </w:r>
            <w:r>
              <w:rPr>
                <w:sz w:val="24"/>
                <w:szCs w:val="24"/>
                <w:rFonts w:ascii="Times New Roman" w:hAnsi="Times New Roman" w:eastAsia="Times New Roman" w:cs="Times New Roman"/>
                <w:spacing w:val="-2"/>
              </w:rPr>
              <w:t xml:space="preserve">с учетом необходимости обеспечения условий для обновления содержания и совершенствования методов обучения </w:t>
            </w:r>
            <w:r>
              <w:rPr>
                <w:i/>
                <w:sz w:val="24"/>
                <w:szCs w:val="24"/>
                <w:rFonts w:ascii="Times New Roman" w:hAnsi="Times New Roman" w:eastAsia="Times New Roman" w:cs="Times New Roman"/>
                <w:spacing w:val="-2"/>
              </w:rPr>
              <w:t xml:space="preserve">предметной области "Технология" </w:t>
            </w:r>
            <w:r>
              <w:rPr>
                <w:sz w:val="24"/>
                <w:szCs w:val="24"/>
                <w:rFonts w:ascii="Times New Roman" w:hAnsi="Times New Roman" w:eastAsia="Times New Roman" w:cs="Times New Roman"/>
                <w:spacing w:val="-2"/>
              </w:rPr>
              <w:t xml:space="preserve">и других предметных областей.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 мониторинг реализации мероприятий по обновлению материально-технической базы в организациях, осуществляющих образовательную деятельность исключительно по </w:t>
            </w:r>
            <w:r>
              <w:rPr>
                <w:i/>
                <w:sz w:val="24"/>
                <w:szCs w:val="24"/>
                <w:rFonts w:ascii="Times New Roman" w:hAnsi="Times New Roman" w:eastAsia="Times New Roman" w:cs="Times New Roman"/>
                <w:spacing w:val="-2"/>
              </w:rPr>
              <w:t xml:space="preserve">адаптированным общеобразовательным программам,</w:t>
            </w:r>
            <w:r>
              <w:rPr>
                <w:sz w:val="24"/>
                <w:szCs w:val="24"/>
                <w:rFonts w:ascii="Times New Roman" w:hAnsi="Times New Roman" w:eastAsia="Times New Roman" w:cs="Times New Roman"/>
                <w:spacing w:val="-2"/>
              </w:rPr>
              <w:t xml:space="preserve"> в соответствии со сформированными методическими рекомендациями.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Обеспечено обновление содержания образовательных программ, в том числе по предметной области "Технология" и </w:t>
            </w:r>
          </w:p>
          <w:p/>
        </w:tc>
      </w:tr>
      <w:tr>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другим предметным областям, методик преподавания и оценивания результатов освоения образовательных программ, дизайна инфраструктуры, перечня учебного оборудования и учебно-методических комплексов с учетом особых образовательных потребностей обучающихся в организациях, осуществляющих образовательную деятельность исключительно по </w:t>
            </w:r>
            <w:r>
              <w:rPr>
                <w:i/>
                <w:sz w:val="24"/>
                <w:szCs w:val="24"/>
                <w:rFonts w:ascii="Times New Roman" w:hAnsi="Times New Roman" w:eastAsia="Times New Roman" w:cs="Times New Roman"/>
                <w:spacing w:val="-2"/>
              </w:rPr>
              <w:t xml:space="preserve">адаптированным общеобразовательным программам</w:t>
            </w:r>
            <w:r>
              <w:rPr>
                <w:sz w:val="24"/>
                <w:szCs w:val="24"/>
                <w:rFonts w:ascii="Times New Roman" w:hAnsi="Times New Roman" w:eastAsia="Times New Roman" w:cs="Times New Roman"/>
                <w:spacing w:val="-2"/>
              </w:rPr>
              <w:t xml:space="preserve">.</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концу 2019 года не менее чем в 130 организациях, осуществляющих образовательную деятельность исключительно по </w:t>
            </w:r>
            <w:r>
              <w:rPr>
                <w:i/>
                <w:sz w:val="24"/>
                <w:szCs w:val="24"/>
                <w:rFonts w:ascii="Times New Roman" w:hAnsi="Times New Roman" w:eastAsia="Times New Roman" w:cs="Times New Roman"/>
                <w:spacing w:val="-2"/>
              </w:rPr>
              <w:t xml:space="preserve">адаптированным общеобразовательным программам</w:t>
            </w:r>
            <w:r>
              <w:rPr>
                <w:sz w:val="24"/>
                <w:szCs w:val="24"/>
                <w:rFonts w:ascii="Times New Roman" w:hAnsi="Times New Roman" w:eastAsia="Times New Roman" w:cs="Times New Roman"/>
                <w:spacing w:val="-2"/>
              </w:rPr>
              <w:t xml:space="preserve">, обновлена материально-техническая база, созданы условия для реализации дистанционных программ обучения определенных категорий обучающихся.</w:t>
            </w:r>
          </w:p>
          <w:p>
            <w:pPr>
              <w:rPr>
                <w:rFonts w:ascii="Times New Roman" w:hAnsi="Times New Roman" w:eastAsia="Times New Roman" w:cs="Times New Roman"/>
                <w:color w:val="000000"/>
                <w:sz w:val="24"/>
                <w:spacing w:val="-2"/>
              </w:rPr>
              <w:spacing w:line="230"/>
            </w:pPr>
          </w:p>
          <w:p/>
        </w:tc>
      </w:tr>
      <w:tr>
        <w:trPr>
          <w:trHeight w:hRule="exact" w:val="24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8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0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межбюджетных трансфертов*"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01.10.2018</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30.10.2018</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w:t>
            </w:r>
          </w:p>
          <w:p/>
        </w:tc>
      </w:tr>
      <w:tr>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28.02.2019</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r>
      <w:tr>
        <w:trPr>
          <w:trHeight w:hRule="exact" w:val="16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0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8.1.3</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субсидий из федерального бюджета бюджетам субъектов Российской Федерации на финансовое обеспечение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49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адаптированным общеобразовательным программам"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24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"Созданы новые места в общеобразовательных организациях Калужской области для перехода на односменный режим обучения"</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149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дополнительного соглашения с Министерством просвещения Российской Федерации об увеличении вводимых новых мест в общеобразовательных организациях для перехода на односменный режим обучения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3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созданию мест в общеобразовательных организациях для перехода на односменный режим обучения"</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1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об увеличении вводимых новых мест в общеобразовательных организациях для перехода на односменный режим обучения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3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созданию мест в общеобразовательных организациях для перехода на односменный режим обучения"</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50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 о предоставлении бюджетам субъектов Российской Федерации межбюджетных трансфертов*</w:t>
            </w:r>
          </w:p>
          <w:p/>
        </w:tc>
      </w:tr>
      <w:tr>
        <w:trPr>
          <w:trHeight w:hRule="exact" w:val="149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об увеличении вводимых новых мест в общеобразовательных организациях для перехода на односменный режим обучения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r>
      <w:tr>
        <w:trPr>
          <w:trHeight w:hRule="exact" w:val="93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об использовании межбюджетных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трансфертов</w:t>
            </w:r>
          </w:p>
          <w:p/>
        </w:tc>
      </w:tr>
      <w:tr>
        <w:trPr>
          <w:trHeight w:hRule="exact" w:val="123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созданию мест в общеобразовательных организациях для перехода на односменный режим обучения"</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50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 о предоставлении бюджетам субъектов Российской Федерации межбюджетных трансфертов*</w:t>
            </w:r>
          </w:p>
          <w:p/>
        </w:tc>
      </w:tr>
      <w:tr>
        <w:trPr>
          <w:trHeight w:hRule="exact" w:val="176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выделении федеральной субсидии на реализацию мероприятий по созданию новых мест в общеобразовательных организациях для перехода на односменный режим обучения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r>
      <w:tr>
        <w:trPr>
          <w:trHeight w:hRule="exact" w:val="97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об использовании межбюджетных трансфертов</w:t>
            </w:r>
          </w:p>
          <w:p/>
        </w:tc>
      </w:tr>
      <w:tr>
        <w:trPr>
          <w:trHeight w:hRule="exact" w:val="123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созданию мест в общеобразовательных организациях для перехода на односменный режим обучения"</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71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"Созданы новые места в общеобразовательных организациях, расположенных в сельской местности и поселках городского типа"</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Реализованы мероприятия региональных программ по модернизации инфраструктуры общего образования (строительство зданий (пристроек к зданию), приобретение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(выкуп) зданий (пристроек к зданиям) общеобразовательных организаций, расположенных в сельской местности и поселках городского типа ,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повышение доступности современных условий образования в сельской местности и малых городах за счет ввода к концу 2019 года не менее 4,9 тыс</w:t>
            </w:r>
            <w:r>
              <w:rPr>
                <w:vertAlign w:val="superscript"/>
                <w:sz w:val="24"/>
                <w:szCs w:val="24"/>
                <w:rFonts w:ascii="Times New Roman" w:hAnsi="Times New Roman" w:eastAsia="Times New Roman" w:cs="Times New Roman"/>
                <w:spacing w:val="-2"/>
              </w:rPr>
              <w:t xml:space="preserve">4</w:t>
            </w:r>
            <w:r>
              <w:rPr>
                <w:sz w:val="24"/>
                <w:szCs w:val="24"/>
                <w:rFonts w:ascii="Times New Roman" w:hAnsi="Times New Roman" w:eastAsia="Times New Roman" w:cs="Times New Roman"/>
                <w:spacing w:val="-2"/>
              </w:rPr>
              <w:t xml:space="preserve">. новых мест в общеобразовательных организациях, расположенных в сельской местности и поселках городского типа.</w:t>
            </w:r>
          </w:p>
          <w:p>
            <w:pPr>
              <w:rPr>
                <w:rFonts w:ascii="Times New Roman" w:hAnsi="Times New Roman" w:eastAsia="Times New Roman" w:cs="Times New Roman"/>
                <w:color w:val="000000"/>
                <w:sz w:val="24"/>
                <w:spacing w:val="-2"/>
              </w:rPr>
              <w:spacing w:line="230"/>
              <w:jc w:val="center"/>
            </w:pPr>
          </w:p>
          <w:p/>
        </w:tc>
      </w:tr>
      <w:tr>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7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на финансовое обеспечение мероприятий по созданию мест в общеобразовательных организациях,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расположенных в сельской местности и поселках городского типа</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3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созданию мест в общеобразовательных организациях, расположенных в сельской местности и поселках городского типа"</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 главный специалист</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 в т.ч. детских технопарков "Кванториум""</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Сформирована система мероприятий по формированию новых условий реализации предметной области "Технология" и других предметных областей, в том числе:</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 перечень субъектов Российской Федерации, реализующих мероприятия по освоению </w:t>
            </w:r>
            <w:r>
              <w:rPr>
                <w:i/>
                <w:sz w:val="24"/>
                <w:szCs w:val="24"/>
                <w:rFonts w:ascii="Times New Roman" w:hAnsi="Times New Roman" w:eastAsia="Times New Roman" w:cs="Times New Roman"/>
                <w:spacing w:val="-2"/>
              </w:rPr>
              <w:t xml:space="preserve">предметной области "Технология"</w:t>
            </w:r>
            <w:r>
              <w:rPr>
                <w:sz w:val="24"/>
                <w:szCs w:val="24"/>
                <w:rFonts w:ascii="Times New Roman" w:hAnsi="Times New Roman" w:eastAsia="Times New Roman" w:cs="Times New Roman"/>
                <w:spacing w:val="-2"/>
              </w:rPr>
              <w:t xml:space="preserve"> и других предметных областей на базе организаций, имеющих </w:t>
            </w:r>
            <w:r>
              <w:rPr>
                <w:i/>
                <w:sz w:val="24"/>
                <w:szCs w:val="24"/>
                <w:rFonts w:ascii="Times New Roman" w:hAnsi="Times New Roman" w:eastAsia="Times New Roman" w:cs="Times New Roman"/>
                <w:spacing w:val="-2"/>
              </w:rPr>
              <w:t xml:space="preserve">высокооснащенные ученико-места</w:t>
            </w:r>
            <w:r>
              <w:rPr>
                <w:sz w:val="24"/>
                <w:szCs w:val="24"/>
                <w:rFonts w:ascii="Times New Roman" w:hAnsi="Times New Roman" w:eastAsia="Times New Roman" w:cs="Times New Roman"/>
                <w:spacing w:val="-2"/>
              </w:rPr>
              <w:t xml:space="preserve">, в том числе детских технопарков "Кванториум"; осуществлен отбор через профильную информационную систему результатов инвентаризации инфраструктурных, материально-технических и кадровых ресурсов организаций разного типа, в том числе образовательных, научных организаций, организаций культуры, </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спорта и реального сектора экономики, потенциально пригодных для реализации </w:t>
            </w:r>
            <w:r>
              <w:rPr>
                <w:i/>
                <w:sz w:val="24"/>
                <w:szCs w:val="24"/>
                <w:rFonts w:ascii="Times New Roman" w:hAnsi="Times New Roman" w:eastAsia="Times New Roman" w:cs="Times New Roman"/>
                <w:spacing w:val="-2"/>
              </w:rPr>
              <w:t xml:space="preserve">предметной области "Технология"</w:t>
            </w:r>
            <w:r>
              <w:rPr>
                <w:sz w:val="24"/>
                <w:szCs w:val="24"/>
                <w:rFonts w:ascii="Times New Roman" w:hAnsi="Times New Roman" w:eastAsia="Times New Roman" w:cs="Times New Roman"/>
                <w:spacing w:val="-2"/>
              </w:rPr>
              <w:t xml:space="preserve"> и других предметных областей; сформированы методические рекомендации освоения </w:t>
            </w:r>
            <w:r>
              <w:rPr>
                <w:i/>
                <w:sz w:val="24"/>
                <w:szCs w:val="24"/>
                <w:rFonts w:ascii="Times New Roman" w:hAnsi="Times New Roman" w:eastAsia="Times New Roman" w:cs="Times New Roman"/>
                <w:spacing w:val="-2"/>
              </w:rPr>
              <w:t xml:space="preserve">предметной области "Технология" </w:t>
            </w:r>
            <w:r>
              <w:rPr>
                <w:sz w:val="24"/>
                <w:szCs w:val="24"/>
                <w:rFonts w:ascii="Times New Roman" w:hAnsi="Times New Roman" w:eastAsia="Times New Roman" w:cs="Times New Roman"/>
                <w:spacing w:val="-2"/>
              </w:rPr>
              <w:t xml:space="preserve">и других предметных областей на базе организаций, имеющих </w:t>
            </w:r>
            <w:r>
              <w:rPr>
                <w:i/>
                <w:sz w:val="24"/>
                <w:szCs w:val="24"/>
                <w:rFonts w:ascii="Times New Roman" w:hAnsi="Times New Roman" w:eastAsia="Times New Roman" w:cs="Times New Roman"/>
                <w:spacing w:val="-2"/>
              </w:rPr>
              <w:t xml:space="preserve">высокооснащенные ученико-места</w:t>
            </w:r>
            <w:r>
              <w:rPr>
                <w:sz w:val="24"/>
                <w:szCs w:val="24"/>
                <w:rFonts w:ascii="Times New Roman" w:hAnsi="Times New Roman" w:eastAsia="Times New Roman" w:cs="Times New Roman"/>
                <w:spacing w:val="-2"/>
              </w:rPr>
              <w:t xml:space="preserve">, в том числе детских технопарков "Кванториум"; обеспечено обновление содержания примерных общеобразовательных программ по </w:t>
            </w:r>
            <w:r>
              <w:rPr>
                <w:i/>
                <w:sz w:val="24"/>
                <w:szCs w:val="24"/>
                <w:rFonts w:ascii="Times New Roman" w:hAnsi="Times New Roman" w:eastAsia="Times New Roman" w:cs="Times New Roman"/>
                <w:spacing w:val="-2"/>
              </w:rPr>
              <w:t xml:space="preserve">предметной области "Технология"</w:t>
            </w:r>
            <w:r>
              <w:rPr>
                <w:sz w:val="24"/>
                <w:szCs w:val="24"/>
                <w:rFonts w:ascii="Times New Roman" w:hAnsi="Times New Roman" w:eastAsia="Times New Roman" w:cs="Times New Roman"/>
                <w:spacing w:val="-2"/>
              </w:rPr>
              <w:t xml:space="preserve">; к концу 2019 года не менее чем в 10 субъектах Российской Федерации изучение </w:t>
            </w:r>
            <w:r>
              <w:rPr>
                <w:i/>
                <w:sz w:val="24"/>
                <w:szCs w:val="24"/>
                <w:rFonts w:ascii="Times New Roman" w:hAnsi="Times New Roman" w:eastAsia="Times New Roman" w:cs="Times New Roman"/>
                <w:spacing w:val="-2"/>
              </w:rPr>
              <w:t xml:space="preserve">предметной области "Технология"</w:t>
            </w:r>
            <w:r>
              <w:rPr>
                <w:sz w:val="24"/>
                <w:szCs w:val="24"/>
                <w:rFonts w:ascii="Times New Roman" w:hAnsi="Times New Roman" w:eastAsia="Times New Roman" w:cs="Times New Roman"/>
                <w:spacing w:val="-2"/>
              </w:rPr>
              <w:t xml:space="preserve"> и других предметных областей осуществляется на базе высокотехнологичных организаций, в том числе детских технопарков "Кванториум", с привлечением обучающихся школ различного типа, в том числе школ, работающих в неблагоприятных социальных условиях.</w:t>
            </w:r>
          </w:p>
          <w:p>
            <w:pPr>
              <w:rPr>
                <w:rFonts w:ascii="Times New Roman" w:hAnsi="Times New Roman" w:eastAsia="Times New Roman" w:cs="Times New Roman"/>
                <w:color w:val="000000"/>
                <w:sz w:val="24"/>
                <w:spacing w:val="-2"/>
              </w:rPr>
              <w:spacing w:line="230"/>
              <w:jc w:val="center"/>
            </w:pPr>
          </w:p>
          <w:p/>
        </w:tc>
      </w:tr>
      <w:tr>
        <w:trPr>
          <w:trHeight w:hRule="exact" w:val="22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Не менее чем в 67 организациях, реализующих общеобразовательные программы, в не менее чем 6 муниципальных образованиях Калужской области обеспечена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возможность изучать предметную область «Технология» на базе организаций, имеющих высокооснащенные ученико-места , в т.ч. детских технопарков «Кванториум»</w:t>
            </w:r>
          </w:p>
          <w:p/>
        </w:tc>
      </w:tr>
      <w:tr>
        <w:trPr>
          <w:trHeight w:hRule="exact" w:val="154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возможности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Не менее чем в 67 организациях, реализующих общеобразовательные программы, в не менее чем 6 муниципальных образованиях Калужской области 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 в т.ч. детских технопарков "Кванториум"</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"Утверждены (одобрены, сформированы) документы, необходимые для оказания услуги (выполнения работы)"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31.08.2020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обеспечению возможности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Не менее чем в 101 организаций, реализующих общеобразовательные программы, в не менее чем 11 муниципальных образованиях Калужской области обеспечена возможность изучать предметную область "Технология" и других предметных областей на базе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организаций, имеющих высокооснащенные ученико-места, в т.ч. детских технопарков "Кванториум"</w:t>
            </w: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возможности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Не менее чем в 134 организациях, реализующих общеобразовательные программы, в не менее чем 13 муниципальных образованиях Калужской области 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в т.ч. детских технопарков "Кванториум"</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обеспечению возможности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Не менее чем в 168 организациях, реализующих общеобразовательные программы, в не менее чем 16 муниципальных образованиях Калужской области 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в т.ч. детских технопарков "Кванториум"</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r>
      <w:tr>
        <w:trPr>
          <w:trHeight w:hRule="exact" w:val="154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обеспечению возможности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Не менее чем в 201 организации, реализующей общеобразовательные программы, в не менее чем 21 муниципальном образовании Калужской области 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в т.ч. детских технопарков "Кванториум"</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обеспечению возможности изучения предметной области «Технология» и других предметных областей на базе 70 % организаций, имеющих высокооснащенные ученико-места, в т.ч. детских технопарков «Кванториум»"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каждом муниципальном образовании Калужской области 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в т.ч. детских технопарков "Кванториум"</w:t>
            </w:r>
          </w:p>
          <w:p/>
        </w:tc>
      </w:tr>
      <w:tr>
        <w:trPr>
          <w:trHeight w:hRule="exact" w:val="204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"Не менее 70% обучающихся общеобразовательных организаций вовлечены в различные формы сопровождения и наставничества"</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соответствии с разработанной методологией </w:t>
            </w:r>
            <w:r>
              <w:rPr>
                <w:i/>
                <w:sz w:val="24"/>
                <w:szCs w:val="24"/>
                <w:rFonts w:ascii="Times New Roman" w:hAnsi="Times New Roman" w:eastAsia="Times New Roman" w:cs="Times New Roman"/>
                <w:spacing w:val="-2"/>
              </w:rPr>
              <w:t xml:space="preserve">наставничества </w:t>
            </w:r>
            <w:r>
              <w:rPr>
                <w:sz w:val="24"/>
                <w:szCs w:val="24"/>
                <w:rFonts w:ascii="Times New Roman" w:hAnsi="Times New Roman" w:eastAsia="Times New Roman" w:cs="Times New Roman"/>
                <w:spacing w:val="-2"/>
              </w:rPr>
              <w:t xml:space="preserve">обучающихся общеобразовательных организаций, в том числе с применением лучших практик обмена опытом между обучающимися и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привлечением представителей работодателей к этой деятельности, к концу 2024 года не менее 70% обучающихся общеобразовательных организаций вовлечены в различные формы сопровождения и </w:t>
            </w:r>
            <w:r>
              <w:rPr>
                <w:i/>
                <w:sz w:val="24"/>
                <w:szCs w:val="24"/>
                <w:rFonts w:ascii="Times New Roman" w:hAnsi="Times New Roman" w:eastAsia="Times New Roman" w:cs="Times New Roman"/>
                <w:spacing w:val="-2"/>
              </w:rPr>
              <w:t xml:space="preserve">наставничества </w:t>
            </w:r>
            <w:r>
              <w:rPr>
                <w:sz w:val="24"/>
                <w:szCs w:val="24"/>
                <w:rFonts w:ascii="Times New Roman" w:hAnsi="Times New Roman" w:eastAsia="Times New Roman" w:cs="Times New Roman"/>
                <w:spacing w:val="-2"/>
              </w:rPr>
              <w:t xml:space="preserve">(2019 г. - 3 % обучающихся; 2020 г. - 10 % обучающихся; 2021 г. - 20 % обучающихся; 2022 г. - 35 % обучающихся; 2023 г. - 50 % обучающихся; 2024 г. - 70 % обучающихся), что позволит создать условия для формирования активной гражданской позиции у каждого обучающегося, а также достичь цели и целевых показателей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Разработаны и внедрены программы менторства и </w:t>
            </w:r>
            <w:r>
              <w:rPr>
                <w:i/>
                <w:sz w:val="24"/>
                <w:szCs w:val="24"/>
                <w:rFonts w:ascii="Times New Roman" w:hAnsi="Times New Roman" w:eastAsia="Times New Roman" w:cs="Times New Roman"/>
                <w:spacing w:val="-2"/>
              </w:rPr>
              <w:t xml:space="preserve">наставничеств</w:t>
            </w:r>
            <w:r>
              <w:rPr>
                <w:sz w:val="24"/>
                <w:szCs w:val="24"/>
                <w:rFonts w:ascii="Times New Roman" w:hAnsi="Times New Roman" w:eastAsia="Times New Roman" w:cs="Times New Roman"/>
                <w:spacing w:val="-2"/>
              </w:rPr>
              <w:t xml:space="preserve">а для обучающихся в рамках взаимодействия с предприятиями субъектов Российской Федерации.</w:t>
            </w:r>
          </w:p>
          <w:p>
            <w:pPr>
              <w:rPr>
                <w:rFonts w:ascii="Times New Roman" w:hAnsi="Times New Roman" w:eastAsia="Times New Roman" w:cs="Times New Roman"/>
                <w:color w:val="000000"/>
                <w:sz w:val="24"/>
                <w:spacing w:val="-2"/>
              </w:rPr>
              <w:spacing w:line="230"/>
              <w:jc w:val="center"/>
            </w:pPr>
          </w:p>
          <w:p/>
        </w:tc>
      </w:tr>
      <w:tr>
        <w:trPr>
          <w:trHeight w:hRule="exact" w:val="247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31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вовлечению не менее 70% обучающихся организаций, реализующих общеобразовательные программы и расположенных на территории Калужской области, в различные формы сопровождения и наставничества"</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 "</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концу 2024 года не менее чем 70 %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 Реализация мероприятий федерального проекта будет направлена на повышение доступности качественного, вариативного образования, что позволит поэтапно достичь следующих результатов охвата организаций, реализующих программы начального, основного и среднего общего образования - реализуют общеобразовательные программы в сетевой форме, накопительным итогом: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2019 г. – 3 % организаций;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2020 г. – 10 % организаций;</w:t>
            </w:r>
          </w:p>
          <w:p>
            <w:pPr>
              <w:rPr>
                <w:rFonts w:ascii="Times New Roman" w:hAnsi="Times New Roman" w:eastAsia="Times New Roman" w:cs="Times New Roman"/>
                <w:color w:val="000000"/>
                <w:sz w:val="24"/>
                <w:spacing w:val="-2"/>
              </w:rPr>
              <w:spacing w:line="230"/>
            </w:pPr>
          </w:p>
          <w:p/>
        </w:tc>
      </w:tr>
      <w:tr>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9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2021 г. – 20 % организаций;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2022 г. – 35 % организаций;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2023 г. – 50 % организаций;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2024 г. – 70 % организаций.</w:t>
            </w:r>
          </w:p>
          <w:p>
            <w:pPr>
              <w:rPr>
                <w:rFonts w:ascii="Times New Roman" w:hAnsi="Times New Roman" w:eastAsia="Times New Roman" w:cs="Times New Roman"/>
                <w:color w:val="000000"/>
                <w:sz w:val="24"/>
                <w:spacing w:val="-2"/>
              </w:rPr>
              <w:spacing w:line="230"/>
            </w:pP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мероприятий по реализации общеобразовательных программ в сетевой форме не менее 70% организаций Калужской области, реализующих программы начального, основного и среднего общего образования"</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247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"Не менее чем в 70%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концу 2024 года не менее чем в 70% общеобразовательных организаций обеспечено вовлечение общественно-деловых объединений и участие представителей работодателей в принятии решений по вопросам управления развитием общеобразовательных организаций. </w:t>
            </w:r>
          </w:p>
          <w:p>
            <w:pPr>
              <w:rPr>
                <w:rFonts w:ascii="Times New Roman" w:hAnsi="Times New Roman" w:eastAsia="Times New Roman" w:cs="Times New Roman"/>
                <w:color w:val="000000"/>
                <w:sz w:val="24"/>
                <w:spacing w:val="-2"/>
              </w:rPr>
              <w:spacing w:line="230"/>
              <w:jc w:val="center"/>
            </w:pPr>
          </w:p>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8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вовлечению общественно-деловых объединений и участия представителей работодателей в принятии решений по вопросам управления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общеобразовательными организациями не менее чем в 70 % общеобразовательных организаций Калужской области"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"Внедрена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опубликован"</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согласован с заинтересованными органами и организациями"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"Реализация мероприятий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30.07.2021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60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базовых знаний, умений и навыков, формализации "гибких компетенций", и примерные основные общеобразовательные программы "</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опубликован"</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"Реализован комплекс мер по внедрению обновленных федеральных государственных образовательных стандарты общего образования, в том числе требований к результатам освоения образовательной программы общего образования в части формирования базовых знаний, умений и навыков, формализации "гибких компетенций", и примерных основных общеобразовательных программ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2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"Проведен мониторинг внедрения обновленных примерных основных общеобразовательных программ, разработанных в рамках федерального проекта"</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3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 мониторинг внедрения обновленных примерных основных общеобразовательных программ, разработанных в рамках федерального проекта"</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r>
      <w:tr>
        <w:trPr>
          <w:trHeight w:hRule="exact" w:val="116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"Обновлена материально-техническая база для формирования у обучающихся современных технологических и гуманитарных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 итогам отбора предоставлены субсидии из федерального бюджета бюджетам субъектов Российской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навыков. Создана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Федерации на создание материально-технической базы</w:t>
            </w:r>
            <w:r>
              <w:rPr>
                <w:vertAlign w:val="superscript"/>
                <w:sz w:val="24"/>
                <w:szCs w:val="24"/>
                <w:rFonts w:ascii="Times New Roman" w:hAnsi="Times New Roman" w:eastAsia="Times New Roman" w:cs="Times New Roman"/>
                <w:spacing w:val="-2"/>
              </w:rPr>
              <w:t xml:space="preserve">9</w:t>
            </w:r>
            <w:r>
              <w:rPr>
                <w:sz w:val="24"/>
                <w:szCs w:val="24"/>
                <w:rFonts w:ascii="Times New Roman" w:hAnsi="Times New Roman" w:eastAsia="Times New Roman" w:cs="Times New Roman"/>
                <w:spacing w:val="-2"/>
              </w:rPr>
              <w:t xml:space="preserve"> для реализации основных и дополнительных общеобразовательных программ цифрового, технического, естественнонаучного и гуманитарного профилей в школах, расположенных в сельской местности и малых городах.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Проведен отбор заявок и заключение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материально-технической базы для реализации основных и дополнительных общеобразовательных программ цифрового и гуманитарного профилей, в том числе технического и естественнонаучного, в школах, расположенных в сельской местности и малых городах, в том числе школах, работающих в неблагоприятных социальных условиях.</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Обеспечено обновление содержания образовательных программ, методик преподавания и оценивания результатов освоения образовательных программ, дизайна инфраструктуры, перечня средств обучения и учебно-методических комплексов.</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Проведен ежегодный мониторинг по оценке качества изменений в освоении обучающимися соответствующих образовательных программ в </w:t>
            </w:r>
          </w:p>
          <w:p/>
        </w:tc>
      </w:tr>
      <w:tr>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соответствии с характеристиками результатов.</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К концу 2024 года не менее чем в 16 тыс. школ, расположенных в сельской местности и малых городах, не менее чем в 80 субъектах Российской Федерации создана материально-техническая база</w:t>
            </w:r>
            <w:r>
              <w:rPr>
                <w:vertAlign w:val="superscript"/>
                <w:sz w:val="19.5"/>
                <w:szCs w:val="19.5"/>
                <w:rFonts w:ascii="&amp;quot" w:hAnsi="&amp;quot" w:eastAsia="&amp;quot" w:cs="&amp;quot"/>
                <w:spacing w:val="-2"/>
              </w:rPr>
              <w:t xml:space="preserve">9</w:t>
            </w:r>
            <w:r>
              <w:rPr>
                <w:sz w:val="19.5"/>
                <w:szCs w:val="19.5"/>
                <w:rFonts w:ascii="&amp;quot" w:hAnsi="&amp;quot" w:eastAsia="&amp;quot" w:cs="&amp;quot"/>
                <w:spacing w:val="-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 в том числе в школах, работающих в неблагоприятных социальных условиях, в том числе:</w:t>
            </w: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в 2019 году - в не менее, чем 2 тыс. школ с охватом не менее 100 тыс. детей;</w:t>
            </w: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в 2020 году - в не менее, чем 5 тыс. школ с охватом не менее 250 тыс. детей;</w:t>
            </w: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в 2021 году - в не менее, чем 8 тыс. школ с охватом не менее 400 тыс. детей;</w:t>
            </w: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в 2022 году - в не менее, чем 11 тыс. школ с охватом не менее 550 тыс. детей;</w:t>
            </w: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в 2023 году - в не менее, чем 13,5 тыс. школ с охватом не менее 700 тыс. детей.</w:t>
            </w:r>
          </w:p>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Значение количества организаций, в которых создается материально-техническая база для реализации основных и дополнительных общеобразовательных программ цифрового и гуманитарного профилей, в том числе технического и естественнонаучного, в школах, расположенных в сельской местности и малых городах, подлежит ежегодному уточнению по итогам проведения отборов на предоставление субсидии из федерального бюджета бюджетам </w:t>
            </w:r>
          </w:p>
          <w:p/>
        </w:tc>
      </w:tr>
      <w:tr>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3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19.5"/>
                <w:szCs w:val="19.5"/>
                <w:rFonts w:ascii="&amp;quot" w:hAnsi="&amp;quot" w:eastAsia="&amp;quot" w:cs="&amp;quot"/>
                <w:spacing w:val="-2"/>
              </w:rPr>
              <w:t xml:space="preserve">субъектов Российской Федерации на финансовое обеспечение соответствующих мероприятий.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tc>
      </w:tr>
      <w:tr>
        <w:trPr>
          <w:trHeight w:hRule="exact" w:val="150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 субъектами Российской Федерации заключены соглашения о предоставлении бюджетам субъектов Российской Федерации межбюджетных трансфертов*</w:t>
            </w:r>
          </w:p>
          <w:p/>
        </w:tc>
      </w:tr>
      <w:tr>
        <w:trPr>
          <w:trHeight w:hRule="exact" w:val="255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формирования у обучающихся современных технологическихи гуманитарных навыков"</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r>
      <w:tr>
        <w:trPr>
          <w:trHeight w:hRule="exact" w:val="97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об использовании межбюджетных трансфертов</w:t>
            </w:r>
          </w:p>
          <w:p/>
        </w:tc>
      </w:tr>
      <w:tr>
        <w:trPr>
          <w:trHeight w:hRule="exact" w:val="97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об использовании межбюджетных трансфертов</w:t>
            </w:r>
          </w:p>
          <w:p/>
        </w:tc>
      </w:tr>
    </w:tbl>
    <w:p>
      <w:pPr>
        <w:sectPr>
          <w:pgSz w:w="16834" w:h="1190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1003"/>
        <w:gridCol w:w="1863"/>
        <w:gridCol w:w="2293"/>
        <w:gridCol w:w="14"/>
      </w:tblGrid>
      <w:tr>
        <w:trPr>
          <w:trHeight w:hRule="exact" w:val="143"/>
        </w:trPr>
        <w:tc>
          <w:tcPr>
            <w:tcW w:w="15632" w:type="dxa"/>
            <w:gridSpan w:val="9"/>
          </w:tcPr>
          <w:p/>
        </w:tc>
      </w:tr>
      <w:tr>
        <w:trPr>
          <w:trHeight w:hRule="exact" w:val="287"/>
        </w:trPr>
        <w:tc>
          <w:tcPr>
            <w:tcW w:w="11462" w:type="dxa"/>
            <w:gridSpan w:val="6"/>
          </w:tcPr>
          <w:p/>
        </w:tc>
        <w:tc>
          <w:tcPr>
            <w:tcW w:w="4156" w:type="dxa"/>
            <w:gridSpan w:val="2"/>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(не подлежат утверждению)</w:t>
            </w:r>
          </w:p>
        </w:tc>
        <w:tc>
          <w:tcPr>
            <w:tcW w:w="14" w:type="dxa"/>
          </w:tcPr>
          <w:p/>
        </w:tc>
      </w:tr>
      <w:tr>
        <w:trPr>
          <w:trHeight w:hRule="exact" w:val="430"/>
        </w:trPr>
        <w:tc>
          <w:tcPr>
            <w:tcW w:w="15632" w:type="dxa"/>
            <w:gridSpan w:val="9"/>
          </w:tcPr>
          <w:p/>
        </w:tc>
      </w:tr>
      <w:tr>
        <w:trPr>
          <w:trHeight w:hRule="exact" w:val="430"/>
        </w:trPr>
        <w:tc>
          <w:tcPr>
            <w:tcW w:w="15618" w:type="dxa"/>
            <w:gridSpan w:val="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ДОПОЛНИТЕЛЬНЫЕ И ОБОСНОВЫВАЮЩИЕ МАТЕРИАЛЫ</w:t>
            </w:r>
          </w:p>
        </w:tc>
        <w:tc>
          <w:tcPr>
            <w:tcW w:w="14" w:type="dxa"/>
          </w:tcPr>
          <w:p/>
        </w:tc>
      </w:tr>
      <w:tr>
        <w:trPr>
          <w:trHeight w:hRule="exact" w:val="429"/>
        </w:trPr>
        <w:tc>
          <w:tcPr>
            <w:tcW w:w="15618" w:type="dxa"/>
            <w:gridSpan w:val="8"/>
            <w:vAlign w:val="bottom"/>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c>
          <w:tcPr>
            <w:tcW w:w="14" w:type="dxa"/>
          </w:tcPr>
          <w:p/>
        </w:tc>
      </w:tr>
      <w:tr>
        <w:trPr>
          <w:trHeight w:hRule="exact" w:val="717"/>
        </w:trPr>
        <w:tc>
          <w:tcPr>
            <w:tcW w:w="15618" w:type="dxa"/>
            <w:gridSpan w:val="8"/>
            <w:tcMar>
              <w:top w:w="287" w:type="dxa"/>
            </w:tcMar>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Современная школа (Калужская область)</w:t>
            </w:r>
          </w:p>
        </w:tc>
        <w:tc>
          <w:tcPr>
            <w:tcW w:w="14" w:type="dxa"/>
          </w:tcPr>
          <w:p/>
        </w:tc>
      </w:tr>
      <w:tr>
        <w:trPr>
          <w:trHeight w:hRule="exact" w:val="573"/>
        </w:trPr>
        <w:tc>
          <w:tcPr>
            <w:tcW w:w="15618" w:type="dxa"/>
            <w:gridSpan w:val="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Модель функционирования результатов и достижения показателей регионального проекта</w:t>
            </w:r>
          </w:p>
        </w:tc>
        <w:tc>
          <w:tcPr>
            <w:tcW w:w="14" w:type="dxa"/>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2865"/>
        </w:trPr>
        <w:tc>
          <w:tcPr>
            <w:tcW w:w="15618" w:type="dxa"/>
            <w:gridSpan w:val="8"/>
            <w:tcBorders>
              <w:top w:val="single" w:sz="5" w:space="0" w:color="000000"/>
            </w:tcBorders>
          </w:tcPr>
          <w:p/>
        </w:tc>
        <w:tc>
          <w:tcPr>
            <w:tcW w:w="14" w:type="dxa"/>
          </w:tcPr>
          <w:p/>
        </w:tc>
      </w:tr>
      <w:tr>
        <w:trPr>
          <w:trHeight w:hRule="exact" w:val="2078"/>
        </w:trPr>
        <w:tc>
          <w:tcPr>
            <w:tcW w:w="15632" w:type="dxa"/>
            <w:gridSpan w:val="9"/>
          </w:tcPr>
          <w:p/>
        </w:tc>
      </w:tr>
      <w:tr>
        <w:trPr>
          <w:trHeight w:hRule="exact" w:val="2063"/>
        </w:trPr>
        <w:tc>
          <w:tcPr>
            <w:tcW w:w="15632" w:type="dxa"/>
            <w:gridSpan w:val="9"/>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32" w:type="dxa"/>
            <w:gridSpan w:val="9"/>
          </w:tcPr>
          <w:p/>
        </w:tc>
      </w:tr>
      <w:tr>
        <w:trPr>
          <w:trHeight w:hRule="exact" w:val="143"/>
        </w:trPr>
        <w:tc>
          <w:tcPr>
            <w:tcW w:w="860" w:type="dxa"/>
            <w:gridSpan w:val="2"/>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6"/>
            <w:vAlign w:val="center"/>
            <w:shd w:val="clear" w:color="auto" w:fill="auto"/>
          </w:tcPr>
          <w:p/>
        </w:tc>
        <w:tc>
          <w:tcPr>
            <w:tcW w:w="14" w:type="dxa"/>
          </w:tcPr>
          <w:p/>
        </w:tc>
      </w:tr>
      <w:tr>
        <w:trPr>
          <w:trHeight w:hRule="exact" w:val="430"/>
        </w:trPr>
        <w:tc>
          <w:tcPr>
            <w:tcW w:w="15618" w:type="dxa"/>
            <w:gridSpan w:val="8"/>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3. 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859"/>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574"/>
        </w:trPr>
        <w:tc>
          <w:tcPr>
            <w:tcW w:w="1561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Общие организационные мероприятия по региональному проекту</w:t>
            </w:r>
          </w:p>
          <w:p/>
        </w:tc>
        <w:tc>
          <w:tcPr>
            <w:tcW w:w="14" w:type="dxa"/>
            <w:tcBorders>
              <w:left w:val="single" w:sz="5" w:space="0" w:color="000000"/>
            </w:tcBorders>
          </w:tcPr>
          <w:p/>
        </w:tc>
      </w:tr>
      <w:tr>
        <w:trPr>
          <w:trHeight w:hRule="exact" w:val="573"/>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573"/>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 в т.ч. детских технопарков "Кванториум"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Ермакова О.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ведущий специалист 1 разряда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473"/>
        </w:trPr>
        <w:tc>
          <w:tcPr>
            <w:tcW w:w="716"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Наумова А. И.</w:t>
            </w:r>
          </w:p>
        </w:tc>
        <w:tc>
          <w:tcPr>
            <w:tcW w:w="3295"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243"/>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 w:type="dxa"/>
            <w:tcBorders>
              <w:left w:val="single" w:sz="5" w:space="0" w:color="000000"/>
            </w:tcBorders>
          </w:tcPr>
          <w:p/>
        </w:tc>
      </w:tr>
      <w:tr>
        <w:trPr>
          <w:trHeight w:hRule="exact" w:val="43"/>
        </w:trPr>
        <w:tc>
          <w:tcPr>
            <w:tcW w:w="15618" w:type="dxa"/>
            <w:gridSpan w:val="8"/>
            <w:vMerge/>
            <w:shd w:val="clear" w:color="auto" w:fill="auto"/>
          </w:tcPr>
          <w:p/>
        </w:tc>
        <w:tc>
          <w:tcPr>
            <w:tcW w:w="14" w:type="dxa"/>
            <w:tcBorders>
              <w:left w:val="single" w:sz="5" w:space="0" w:color="000000"/>
            </w:tcBorders>
          </w:tcPr>
          <w:p/>
        </w:tc>
      </w:tr>
      <w:tr>
        <w:trPr>
          <w:trHeight w:hRule="exact" w:val="144"/>
        </w:trPr>
        <w:tc>
          <w:tcPr>
            <w:tcW w:w="15618" w:type="dxa"/>
            <w:gridSpan w:val="8"/>
            <w:vMerge/>
            <w:shd w:val="clear" w:color="auto" w:fill="auto"/>
          </w:tcPr>
          <w:p/>
        </w:tc>
        <w:tc>
          <w:tcPr>
            <w:tcW w:w="14" w:type="dxa"/>
          </w:tcPr>
          <w:p/>
        </w:tc>
      </w:tr>
      <w:tr>
        <w:trPr>
          <w:trHeight w:hRule="exact" w:val="429"/>
        </w:trPr>
        <w:tc>
          <w:tcPr>
            <w:tcW w:w="15618" w:type="dxa"/>
            <w:gridSpan w:val="8"/>
            <w:tcBorders>
              <w:bottom w:val="single" w:sz="5" w:space="0" w:color="000000"/>
            </w:tcBorders>
          </w:tcPr>
          <w:p/>
        </w:tc>
        <w:tc>
          <w:tcPr>
            <w:tcW w:w="14" w:type="dxa"/>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4"/>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4"/>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новые места в общеобразовательных организациях, расположенных в сельской местности и поселках городского типа</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Тележенко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Вирков Е. О.</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272"/>
        </w:trPr>
        <w:tc>
          <w:tcPr>
            <w:tcW w:w="15618" w:type="dxa"/>
            <w:gridSpan w:val="8"/>
            <w:tcMar>
              <w:top w:w="72" w:type="dxa"/>
              <w:left w:w="72" w:type="dxa"/>
              <w:right w:w="72" w:type="dxa"/>
            </w:tcMar>
            <w:vAlign w:val="center"/>
            <w:tcBorders>
              <w:top w:val="single" w:sz="5" w:space="0" w:color="000000"/>
              <w:left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Внедрены методические рекомендации по системе функционирования психологических служб в общеобразовательных организациях, сформированные на </w:t>
            </w:r>
          </w:p>
          <w:p/>
        </w:tc>
        <w:tc>
          <w:tcPr>
            <w:tcW w:w="14" w:type="dxa"/>
            <w:tcBorders>
              <w:left w:val="single" w:sz="5" w:space="0" w:color="000000"/>
            </w:tcBorders>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18" w:type="dxa"/>
            <w:gridSpan w:val="8"/>
            <w:tcBorders>
              <w:bottom w:val="single" w:sz="5" w:space="0" w:color="000000"/>
            </w:tcBorders>
          </w:tcPr>
          <w:p/>
        </w:tc>
        <w:tc>
          <w:tcPr>
            <w:tcW w:w="14" w:type="dxa"/>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 </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Внедрены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управления регламентации образовательной деятельности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управления регламентации образовательной деятельности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100 % организаций, реализующих общеобразовательные программы и находящихся на территории Калужской области, проведена оценка качества общего образования на основе практики международных исследований качества подготовки обучающихся</w:t>
            </w:r>
          </w:p>
          <w:p/>
        </w:tc>
        <w:tc>
          <w:tcPr>
            <w:tcW w:w="14" w:type="dxa"/>
            <w:tcBorders>
              <w:left w:val="single" w:sz="5" w:space="0" w:color="000000"/>
            </w:tcBorders>
          </w:tcPr>
          <w:p/>
        </w:tc>
      </w:tr>
      <w:tr>
        <w:trPr>
          <w:trHeight w:hRule="exact" w:val="1132"/>
        </w:trPr>
        <w:tc>
          <w:tcPr>
            <w:tcW w:w="716"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w:t>
            </w:r>
          </w:p>
        </w:tc>
        <w:tc>
          <w:tcPr>
            <w:tcW w:w="3295"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управления регламентации образовательной деятельности</w:t>
            </w:r>
          </w:p>
        </w:tc>
        <w:tc>
          <w:tcPr>
            <w:tcW w:w="2866"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15"/>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172"/>
        </w:trPr>
        <w:tc>
          <w:tcPr>
            <w:tcW w:w="15618" w:type="dxa"/>
            <w:gridSpan w:val="8"/>
            <w:vMerge/>
            <w:shd w:val="clear" w:color="auto" w:fill="auto"/>
          </w:tcPr>
          <w:p/>
        </w:tc>
        <w:tc>
          <w:tcPr>
            <w:tcW w:w="14" w:type="dxa"/>
            <w:tcBorders>
              <w:left w:val="single" w:sz="5" w:space="0" w:color="000000"/>
            </w:tcBorders>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18" w:type="dxa"/>
            <w:gridSpan w:val="8"/>
            <w:tcBorders>
              <w:bottom w:val="single" w:sz="5" w:space="0" w:color="000000"/>
            </w:tcBorders>
          </w:tcPr>
          <w:p/>
        </w:tc>
        <w:tc>
          <w:tcPr>
            <w:tcW w:w="14" w:type="dxa"/>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Тылкин В.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управления регламентации образовательной деятельности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5"/>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Во всех муниципальных образованиях Калужской области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5"/>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"гибких компетенций", и примерные основные общеобразовательные программы </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муниципальных образований Калужской области</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Тяпкина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72"/>
        </w:trPr>
        <w:tc>
          <w:tcPr>
            <w:tcW w:w="15618" w:type="dxa"/>
            <w:gridSpan w:val="8"/>
            <w:tcMar>
              <w:top w:w="72" w:type="dxa"/>
              <w:left w:w="72" w:type="dxa"/>
              <w:right w:w="72" w:type="dxa"/>
            </w:tcMar>
            <w:vAlign w:val="center"/>
            <w:tcBorders>
              <w:top w:val="single" w:sz="5" w:space="0" w:color="000000"/>
              <w:left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 мониторинг внедрения обновленных примерных основных общеобразовательных программ, разработанных в рамках федерального проекта</w:t>
            </w:r>
          </w:p>
          <w:p/>
        </w:tc>
        <w:tc>
          <w:tcPr>
            <w:tcW w:w="14" w:type="dxa"/>
            <w:tcBorders>
              <w:left w:val="single" w:sz="5" w:space="0" w:color="000000"/>
            </w:tcBorders>
          </w:tcPr>
          <w:p/>
        </w:tc>
      </w:tr>
      <w:tr>
        <w:trPr>
          <w:trHeight w:hRule="exact" w:val="258"/>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 w:type="dxa"/>
            <w:tcBorders>
              <w:left w:val="single" w:sz="5" w:space="0" w:color="000000"/>
            </w:tcBorders>
          </w:tcPr>
          <w:p/>
        </w:tc>
      </w:tr>
      <w:tr>
        <w:trPr>
          <w:trHeight w:hRule="exact" w:val="28"/>
        </w:trPr>
        <w:tc>
          <w:tcPr>
            <w:tcW w:w="15618" w:type="dxa"/>
            <w:gridSpan w:val="8"/>
            <w:vMerge/>
            <w:shd w:val="clear" w:color="auto" w:fill="auto"/>
          </w:tcPr>
          <w:p/>
        </w:tc>
        <w:tc>
          <w:tcPr>
            <w:tcW w:w="14" w:type="dxa"/>
            <w:tcBorders>
              <w:left w:val="single" w:sz="5" w:space="0" w:color="000000"/>
            </w:tcBorders>
          </w:tcPr>
          <w:p/>
        </w:tc>
      </w:tr>
      <w:tr>
        <w:trPr>
          <w:trHeight w:hRule="exact" w:val="144"/>
        </w:trPr>
        <w:tc>
          <w:tcPr>
            <w:tcW w:w="15618" w:type="dxa"/>
            <w:gridSpan w:val="8"/>
            <w:vMerge/>
            <w:shd w:val="clear" w:color="auto" w:fill="auto"/>
          </w:tcPr>
          <w:p/>
        </w:tc>
        <w:tc>
          <w:tcPr>
            <w:tcW w:w="14" w:type="dxa"/>
          </w:tcPr>
          <w:p/>
        </w:tc>
      </w:tr>
      <w:tr>
        <w:trPr>
          <w:trHeight w:hRule="exact" w:val="429"/>
        </w:trPr>
        <w:tc>
          <w:tcPr>
            <w:tcW w:w="15618" w:type="dxa"/>
            <w:gridSpan w:val="8"/>
            <w:tcBorders>
              <w:bottom w:val="single" w:sz="5" w:space="0" w:color="000000"/>
            </w:tcBorders>
          </w:tcPr>
          <w:p/>
        </w:tc>
        <w:tc>
          <w:tcPr>
            <w:tcW w:w="14" w:type="dxa"/>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Тяпкина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429"/>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Создание современной образовательной среды, обеспечивающей качество общего образования </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70% обучающихся общеобразовательных организаций вовлечены в различные формы сопровождения и наставничества</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Артамонов М.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Тяпкина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 </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00"/>
        </w:trPr>
        <w:tc>
          <w:tcPr>
            <w:tcW w:w="716"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 w:type="dxa"/>
            <w:tcBorders>
              <w:left w:val="single" w:sz="5" w:space="0" w:color="000000"/>
            </w:tcBorders>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18" w:type="dxa"/>
            <w:gridSpan w:val="8"/>
            <w:tcBorders>
              <w:bottom w:val="single" w:sz="5" w:space="0" w:color="000000"/>
            </w:tcBorders>
          </w:tcPr>
          <w:p/>
        </w:tc>
        <w:tc>
          <w:tcPr>
            <w:tcW w:w="14" w:type="dxa"/>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Тяпкина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чем в 70%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Тяпкина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новые места в общеобразовательных организациях Калужской области для перехода на односменный режим обучения</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Тележенко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Вирков Е. О.</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Резник П.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Times New Roman"/>
  <w:font w:name="&amp;quot"/>
  <w:font w:name="Cambria"/>
  <w:font w:name="Calibri"/>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2019.3.4 from 5 August 2019</cp:lastModifiedBy>
  <cp:revision>1</cp:revision>
  <dcterms:created xsi:type="dcterms:W3CDTF">2020-09-10T08:23:46Z</dcterms:created>
  <dcterms:modified xsi:type="dcterms:W3CDTF">2020-09-10T08:23:46Z</dcterms:modified>
</cp:coreProperties>
</file>