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735"/>
        <w:gridCol w:w="814"/>
        <w:gridCol w:w="696"/>
        <w:gridCol w:w="774"/>
        <w:gridCol w:w="643"/>
        <w:gridCol w:w="643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459"/>
        <w:gridCol w:w="538"/>
      </w:tblGrid>
      <w:tr>
        <w:trPr>
          <w:trHeight w:val="780" w:hRule="atLeast"/>
        </w:trPr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pict>
              <v:rect style="position:absolute;margin-left:36pt;margin-top:8pt;width:54pt;height:60pt;z-index:0;" strokecolor="000000" stroked="false" fillcolor="FFFFFF">
                <v:fill r:id="image000.png" Type="frame"/>
              </v:rect>
            </w:pict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305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305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305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305" w:type="dxa"/>
            <w:gridSpan w:val="6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 П Р И К А З </w:t>
            </w: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/>
        <w:tc>
          <w:tcPr>
            <w:tcW w:w="735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 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/>
        <w:tc>
          <w:tcPr>
            <w:tcW w:w="6617" w:type="dxa"/>
            <w:gridSpan w:val="10"/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2019 - 2023 годы» (в ред. приказа министерства конкурентной политики Калужской области от 20.05.2019 № 30-РК)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/>
        <w:tc>
          <w:tcPr>
            <w:tcW w:w="11082" w:type="dxa"/>
            <w:gridSpan w:val="18"/>
            <w:shd w:val="clear" w:color="FFFFFF" w:fill="auto"/>
            <w:tcMar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460-РК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 2019 - 2023 годы» (в ред.  приказа министерства конкурентной политики Калужской области от 20.05.2019 № 29-РК) (в ред. приказа министерства конкурентной политики от №), на основании протокола заседания комиссии по тарифам и ценам министерства конкурентной политики Калужской области от ПРИКАЗЫВАЮ:</w:t>
            </w:r>
          </w:p>
        </w:tc>
      </w:tr>
      <w:tr>
        <w:trPr/>
        <w:tc>
          <w:tcPr>
            <w:tcW w:w="11082" w:type="dxa"/>
            <w:gridSpan w:val="18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1. Внести изменение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2019 - 2023 годы» (в ред. приказа министерства конкурентной политики Калужской области от 20.05.2019 № 30-РК)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p>
        <w:r>
          <w:br w:type="page"/>
        </w:r>
      </w:p>
      <w:tr>
        <w:trPr/>
        <w:tc>
          <w:tcPr>
            <w:tcW w:w="11082" w:type="dxa"/>
            <w:gridSpan w:val="1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tab/>
            <w:r>
              <w:rPr>
                <w:rFonts w:ascii="Times New Roman" w:hAnsi="Times New Roman"/>
                <w:sz w:val="26"/>
                <w:szCs w:val="26"/>
              </w:rPr>
              <w:tab/>
              <w:t>	2. Настоящий приказ вступает в силу с 1 января 2020 года.</w:t>
            </w: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60" w:hRule="atLeast"/>
        </w:trPr>
        <w:tc>
          <w:tcPr>
            <w:tcW w:w="5461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p>
        <w:r>
          <w:br w:type="page"/>
        </w:r>
      </w:p>
      <w:tr>
        <w:trPr>
          <w:trHeight w:val="32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>
        <w:trPr>
          <w:trHeight w:val="32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 к приказу министерства </w:t>
            </w:r>
          </w:p>
        </w:tc>
      </w:tr>
      <w:tr>
        <w:trPr>
          <w:trHeight w:val="32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2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2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 от 16.12.2019 №                </w:t>
            </w:r>
          </w:p>
        </w:tc>
      </w:tr>
      <w:tr>
        <w:trPr>
          <w:trHeight w:val="6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31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>
        <w:trPr>
          <w:trHeight w:val="31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 к приказу министерства </w:t>
            </w:r>
          </w:p>
        </w:tc>
      </w:tr>
      <w:tr>
        <w:trPr>
          <w:trHeight w:val="31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>
        <w:trPr>
          <w:trHeight w:val="31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>
        <w:trPr>
          <w:trHeight w:val="310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 от 17.12.2018 № 474-РК</w:t>
            </w:r>
          </w:p>
        </w:tc>
      </w:tr>
      <w:tr>
        <w:trPr>
          <w:trHeight w:val="345" w:hRule="atLeast"/>
        </w:trPr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1082" w:type="dxa"/>
            <w:gridSpan w:val="1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транспортировку воды, водоотведение для общества с ограниченной ответственностью «Калужский областной водоканал»  за исключением территории индустриального парка "Росва" на  2019-2023 годы</w:t>
            </w:r>
          </w:p>
        </w:tc>
      </w:tr>
      <w:tr>
        <w:trPr>
          <w:trHeight w:val="210" w:hRule="atLeast"/>
        </w:trPr>
        <w:tc>
          <w:tcPr>
            <w:tcW w:w="8929" w:type="dxa"/>
            <w:gridSpan w:val="1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28,06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4,29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33,67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17,46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21,35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1082" w:type="dxa"/>
            <w:gridSpan w:val="18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sectPr>
      <w:pgSz w:w="11907" w:h="16839" w:orient="portrait"/>
      <w:pgMar w:top="1134" w:right="567" w:bottom="1134" w:left="1701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