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4"/>
        <w:gridCol w:w="637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>
            <w:r w:rsidRPr="00464AB6"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464AB6" w:rsidRDefault="00464AB6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64AB6" w:rsidRDefault="00464AB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center"/>
          </w:tcPr>
          <w:p w:rsidR="00464AB6" w:rsidRDefault="00464AB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64AB6" w:rsidRDefault="00464AB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64AB6" w:rsidRDefault="00464AB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5" w:type="dxa"/>
            <w:gridSpan w:val="10"/>
            <w:shd w:val="clear" w:color="FFFFFF" w:fill="auto"/>
            <w:vAlign w:val="center"/>
          </w:tcPr>
          <w:p w:rsidR="00464AB6" w:rsidRDefault="00CD546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27.11.2015 № 457-РК «Об установлении долгосрочных тарифов на питьевую воду (питьевое водоснабжение), на транспортировку сточных вод для 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464AB6" w:rsidRDefault="00CD54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</w:t>
            </w:r>
            <w:r>
              <w:rPr>
                <w:rFonts w:ascii="Times New Roman" w:hAnsi="Times New Roman"/>
                <w:sz w:val="26"/>
                <w:szCs w:val="26"/>
              </w:rPr>
              <w:t>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</w:t>
            </w:r>
            <w:r>
              <w:rPr>
                <w:rFonts w:ascii="Times New Roman" w:hAnsi="Times New Roman"/>
                <w:sz w:val="26"/>
                <w:szCs w:val="26"/>
              </w:rPr>
              <w:t>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</w:t>
            </w:r>
            <w:r>
              <w:rPr>
                <w:rFonts w:ascii="Times New Roman" w:hAnsi="Times New Roman"/>
                <w:sz w:val="26"/>
                <w:szCs w:val="26"/>
              </w:rPr>
              <w:t>ерства тарифного регулирования Калужской области от 27.11.2015 № 444-РК «Об утверждении производственной программы в сфере водоснабжения и 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</w:t>
            </w:r>
            <w:r>
              <w:rPr>
                <w:rFonts w:ascii="Times New Roman" w:hAnsi="Times New Roman"/>
                <w:sz w:val="26"/>
                <w:szCs w:val="26"/>
              </w:rPr>
              <w:t>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тарифного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27.11.2015 № 457-РК «Об установлении долгосрочных тарифов на питьевую воду (питьевое водоснабжение), на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(далее -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 согласно приложению к настоящему приказу.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9" w:type="dxa"/>
            <w:gridSpan w:val="18"/>
            <w:shd w:val="clear" w:color="FFFFFF" w:fill="auto"/>
          </w:tcPr>
          <w:p w:rsidR="00464AB6" w:rsidRDefault="00CD54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464AB6" w:rsidRDefault="00CD546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64AB6" w:rsidRDefault="00CD546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4"/>
        <w:gridCol w:w="635"/>
        <w:gridCol w:w="581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CD5467" w:rsidP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2016 №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464AB6">
            <w:pPr>
              <w:jc w:val="right"/>
            </w:pP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64AB6" w:rsidRDefault="00CD54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 457-РК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64AB6" w:rsidRDefault="00464AB6"/>
        </w:tc>
        <w:tc>
          <w:tcPr>
            <w:tcW w:w="643" w:type="dxa"/>
            <w:shd w:val="clear" w:color="FFFFFF" w:fill="auto"/>
            <w:vAlign w:val="bottom"/>
          </w:tcPr>
          <w:p w:rsidR="00464AB6" w:rsidRDefault="00464AB6"/>
        </w:tc>
        <w:tc>
          <w:tcPr>
            <w:tcW w:w="591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 w:rsidP="00CD54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 для Общества с ограниченной ответственностью 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Курчатовец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2016-2018 годы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464AB6" w:rsidRDefault="00464AB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78" w:type="dxa"/>
            <w:shd w:val="clear" w:color="FFFFFF" w:fill="auto"/>
            <w:vAlign w:val="bottom"/>
          </w:tcPr>
          <w:p w:rsidR="00464AB6" w:rsidRDefault="00464AB6"/>
        </w:tc>
        <w:tc>
          <w:tcPr>
            <w:tcW w:w="538" w:type="dxa"/>
            <w:shd w:val="clear" w:color="FFFFFF" w:fill="auto"/>
            <w:vAlign w:val="bottom"/>
          </w:tcPr>
          <w:p w:rsidR="00464AB6" w:rsidRDefault="00464AB6"/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AB6" w:rsidRDefault="00CD54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</w:tr>
      <w:tr w:rsidR="00464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464AB6" w:rsidRDefault="00CD5467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CD5467"/>
    <w:sectPr w:rsidR="00000000" w:rsidSect="00464AB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AB6"/>
    <w:rsid w:val="00464AB6"/>
    <w:rsid w:val="00CD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64A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2</cp:revision>
  <dcterms:created xsi:type="dcterms:W3CDTF">2016-12-02T12:42:00Z</dcterms:created>
  <dcterms:modified xsi:type="dcterms:W3CDTF">2016-12-02T12:43:00Z</dcterms:modified>
</cp:coreProperties>
</file>