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21" w:rsidRPr="006921D3" w:rsidRDefault="001E3421" w:rsidP="006921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921D3">
        <w:rPr>
          <w:rFonts w:ascii="Times New Roman" w:hAnsi="Times New Roman"/>
          <w:b/>
          <w:color w:val="000000" w:themeColor="text1"/>
          <w:sz w:val="26"/>
          <w:szCs w:val="26"/>
        </w:rPr>
        <w:t>Информация о ходе реализации стратегических инициатив Президента РФ в Калужской области</w:t>
      </w:r>
    </w:p>
    <w:p w:rsidR="00D831C5" w:rsidRPr="006921D3" w:rsidRDefault="001E3421" w:rsidP="006921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921D3">
        <w:rPr>
          <w:rFonts w:ascii="Times New Roman" w:hAnsi="Times New Roman"/>
          <w:b/>
          <w:color w:val="000000" w:themeColor="text1"/>
          <w:sz w:val="26"/>
          <w:szCs w:val="26"/>
        </w:rPr>
        <w:t>по итогам</w:t>
      </w:r>
      <w:r w:rsidR="0062040D" w:rsidRPr="006921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921D3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="00146904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Pr="006921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года</w:t>
      </w:r>
    </w:p>
    <w:p w:rsidR="00FE64D0" w:rsidRPr="006921D3" w:rsidRDefault="00FE64D0" w:rsidP="006921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3316"/>
        <w:gridCol w:w="8475"/>
      </w:tblGrid>
      <w:tr w:rsidR="006921D3" w:rsidRPr="006921D3" w:rsidTr="00F52DE7">
        <w:tc>
          <w:tcPr>
            <w:tcW w:w="3626" w:type="dxa"/>
          </w:tcPr>
          <w:p w:rsidR="00D831C5" w:rsidRPr="006921D3" w:rsidRDefault="00D831C5" w:rsidP="00692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Основные документы, содержащие стратегические инициативы Президента Российской Федерации</w:t>
            </w:r>
          </w:p>
        </w:tc>
        <w:tc>
          <w:tcPr>
            <w:tcW w:w="3316" w:type="dxa"/>
          </w:tcPr>
          <w:p w:rsidR="00D831C5" w:rsidRPr="006921D3" w:rsidRDefault="00D831C5" w:rsidP="00692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Стратегическая инициатива, целевые показатели</w:t>
            </w:r>
          </w:p>
        </w:tc>
        <w:tc>
          <w:tcPr>
            <w:tcW w:w="8475" w:type="dxa"/>
          </w:tcPr>
          <w:p w:rsidR="00D831C5" w:rsidRPr="006921D3" w:rsidRDefault="00D831C5" w:rsidP="00692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Ход реализации поставленных задач, </w:t>
            </w:r>
          </w:p>
          <w:p w:rsidR="00D831C5" w:rsidRPr="006921D3" w:rsidRDefault="00D831C5" w:rsidP="00692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достижения целевых показателей </w:t>
            </w:r>
          </w:p>
          <w:p w:rsidR="00D831C5" w:rsidRPr="006921D3" w:rsidRDefault="00D831C5" w:rsidP="00692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в </w:t>
            </w:r>
            <w:r w:rsidR="007F1683"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Калужской области</w:t>
            </w:r>
          </w:p>
          <w:p w:rsidR="00D831C5" w:rsidRPr="006921D3" w:rsidRDefault="00D831C5" w:rsidP="006921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921D3" w:rsidRPr="006921D3" w:rsidTr="00065346">
        <w:trPr>
          <w:trHeight w:val="416"/>
        </w:trPr>
        <w:tc>
          <w:tcPr>
            <w:tcW w:w="15417" w:type="dxa"/>
            <w:gridSpan w:val="3"/>
          </w:tcPr>
          <w:p w:rsidR="001E3421" w:rsidRPr="006921D3" w:rsidRDefault="00C958EA" w:rsidP="00692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Министерство экономического развития Калужской области</w:t>
            </w:r>
          </w:p>
        </w:tc>
      </w:tr>
      <w:tr w:rsidR="006921D3" w:rsidRPr="006921D3" w:rsidTr="00F52DE7">
        <w:trPr>
          <w:trHeight w:val="416"/>
        </w:trPr>
        <w:tc>
          <w:tcPr>
            <w:tcW w:w="3626" w:type="dxa"/>
          </w:tcPr>
          <w:p w:rsidR="00F4719C" w:rsidRPr="006921D3" w:rsidRDefault="00F4719C" w:rsidP="006921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Указ Президента Российской Федерации от 07.05.2012 </w:t>
            </w:r>
            <w:r w:rsidR="007F1683"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="00041225"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  <w:r w:rsidR="001E3421"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596 «О долгосрочной государственной  политике»</w:t>
            </w:r>
          </w:p>
        </w:tc>
        <w:tc>
          <w:tcPr>
            <w:tcW w:w="3316" w:type="dxa"/>
          </w:tcPr>
          <w:p w:rsidR="00F4719C" w:rsidRPr="005B6277" w:rsidRDefault="005B6277" w:rsidP="005B6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</w:t>
            </w:r>
            <w:r w:rsidR="00842148" w:rsidRPr="00DE1CB6">
              <w:rPr>
                <w:rFonts w:ascii="Times New Roman" w:hAnsi="Times New Roman"/>
                <w:sz w:val="26"/>
              </w:rPr>
              <w:t>оздание и модернизация 25 млн. высокопроизводит</w:t>
            </w:r>
            <w:r>
              <w:rPr>
                <w:rFonts w:ascii="Times New Roman" w:hAnsi="Times New Roman"/>
                <w:sz w:val="26"/>
              </w:rPr>
              <w:t>ельных рабочих мест к 2020 году.</w:t>
            </w:r>
          </w:p>
        </w:tc>
        <w:tc>
          <w:tcPr>
            <w:tcW w:w="8475" w:type="dxa"/>
          </w:tcPr>
          <w:p w:rsidR="00F4719C" w:rsidRPr="00372EE4" w:rsidRDefault="008B3CF5" w:rsidP="006921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372EE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Калужская область</w:t>
            </w:r>
            <w:r w:rsidR="00842148" w:rsidRPr="00372EE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:</w:t>
            </w:r>
          </w:p>
          <w:p w:rsidR="00F4719C" w:rsidRPr="00372EE4" w:rsidRDefault="00F4719C" w:rsidP="006921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372EE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Документы:</w:t>
            </w:r>
          </w:p>
          <w:p w:rsidR="000E2155" w:rsidRPr="00372EE4" w:rsidRDefault="000E2155" w:rsidP="006921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:rsidR="0090559F" w:rsidRPr="00372EE4" w:rsidRDefault="0090559F" w:rsidP="00905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- постановление Правительства Калужской области от 25.03.2013 № 150 «Об инвестиционной стратегии Калужской области до 2020 года»;</w:t>
            </w:r>
          </w:p>
          <w:p w:rsidR="0090559F" w:rsidRDefault="0090559F" w:rsidP="00905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- постановление Правительства Калужской области от 25.03.2019 № 171 «Об утверждении государственной программы Калужской области «Экономическое развитие в Калужской области» (подпрограмма «Формирование благоприятной инвестиционной среды в Калужской области» государственно</w:t>
            </w:r>
            <w:r w:rsidR="00D5253A">
              <w:rPr>
                <w:rFonts w:ascii="Times New Roman" w:hAnsi="Times New Roman"/>
                <w:sz w:val="26"/>
                <w:szCs w:val="26"/>
              </w:rPr>
              <w:t>й программы Калужской области»);</w:t>
            </w:r>
          </w:p>
          <w:p w:rsidR="00D5253A" w:rsidRPr="00372EE4" w:rsidRDefault="00D5253A" w:rsidP="00905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375F">
              <w:rPr>
                <w:rFonts w:ascii="Times New Roman" w:hAnsi="Times New Roman"/>
                <w:sz w:val="26"/>
                <w:szCs w:val="26"/>
              </w:rPr>
              <w:t>приказ министерства экономического развития Калужской области от 09.07.2020 № 1160-п «Об утверждении Плана инвестиционного развития Калужской области до 2024 года»</w:t>
            </w:r>
            <w:r w:rsidRPr="00DE1CB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C1CD0" w:rsidRPr="00372EE4" w:rsidRDefault="00EC1CD0" w:rsidP="006921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:rsidR="00EC1CD0" w:rsidRPr="00372EE4" w:rsidRDefault="00EC1CD0" w:rsidP="006921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372EE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Исполнение инициативы:</w:t>
            </w:r>
          </w:p>
          <w:p w:rsidR="00372EE4" w:rsidRPr="00372EE4" w:rsidRDefault="00372EE4" w:rsidP="007D458C">
            <w:pPr>
              <w:spacing w:before="120"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В Калужской области проводится активная инвестиционная политика, направленная на диверсификацию экономики, в том числе путем создания новых высокопроизводительных производств. На постоянной основе проводится работа по привлечению и сопровождению инвесторов, для чего в различных районах области создано 12 индустриальных парков и ОЭЗ ППТ «Калуга», где для ведения бизнеса подготовлены площадки для промышленной застройки и необходимая инфраструктура. В целях повышения инвестиционной привлекательности моногородов в Калужской области постановлениями Правительства </w:t>
            </w:r>
            <w:r w:rsidRPr="00372EE4">
              <w:rPr>
                <w:rFonts w:ascii="Times New Roman" w:hAnsi="Times New Roman"/>
                <w:sz w:val="26"/>
                <w:szCs w:val="26"/>
              </w:rPr>
              <w:lastRenderedPageBreak/>
              <w:t>Российской Федерации были созданы две территории опережающего социально-экономического развития (ТОСЭР): ТОСЭР «Сосенский» и ТОСЭР «Кондрово». Создание ТОСЭР направлено на улучшение инвестиционного климата на территориях моногородов за счет предоставления налоговых льгот для резидентов ТОСЭР, что дает возможность активнее привлекать инвесторов, активизировать местный бизнес и повысить качество жизни в городе.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Кроме этого, распоряжением Правительства Российской Федерации, городское поселение «Город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Ермолино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>» Боровского района Калужской области включено в перечень моногородов Российской Федерации. Что в свою очередь дает возможность использования предпринимателями ряда выгодных финансовых продуктов для реализации инвестиционных проектов на указанных территориях.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В 2020 году количество новых инвестиционных проектов Калужской области составило 22 (общий объем инвестиций 40 230 млн. руб., количество рабочих мест –1 854), из них: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– 1 инвестиционный проект ООО «Кей Ту Си» (производство лакокрасочной продукции и сопутствующих материалов в аэрозольной упаковке, Боровский район) включен в реестр участников региональных инвестиционных проектов (общий заявленный объем инвестиций 80,0 млн. руб., количество рабочих мест – 30);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– 8 соглашений о намерениях (общий заявленный объем инвестиций 11 300,5 млн. рублей, количество рабочих мест – 770) заключено с компаниями: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ООО «Нестле Россия» (Расширение производственных мощностей фабрики по производству сухих и влажных кормов для домашних животных, ИП «Ворсино»),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АО «Почта России», ООО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Фрейт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Вилладж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Логистика» (Создание масштабного логистического центра -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Мегахаба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АО «Почта России»),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АО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Русатом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Гринвэй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>» (производственно-технический комплекс по переработке химических источников тока, ИП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Воротынск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>»);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Инноватикс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-СК» (производство солнечного кремния и </w:t>
            </w:r>
            <w:r w:rsidRPr="00372E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изделий на основе солнечной технологии,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ООО «КХАНН ВИЛЗ» (производство кованых дисков, 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ООО «Б-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Фарм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Продакшн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» (производство готовых лекарственных средств, 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Архбум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-Пак» (производство потребительской упаковки,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ООО «ЦИЛИНДЕРСРУС» (производство портальных и горизонтальных фрезерных обрабатывающих центров,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«Калуга»),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– 5 соглашений об осуществлении промышленно-производственной деятельности в ОЭЗ ППТ «Калуга» (общий заявленный объем инвестиций 19 755,85 млн. руб., количество рабочих мест – 797)</w:t>
            </w:r>
            <w:r w:rsidR="00831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2EE4">
              <w:rPr>
                <w:rFonts w:ascii="Times New Roman" w:hAnsi="Times New Roman"/>
                <w:sz w:val="26"/>
                <w:szCs w:val="26"/>
              </w:rPr>
              <w:t>заключено с компаниями: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ЗАО «ХАЯТ КИМЬЯ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Санайи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А.Ш.» (производство бумажной продукции и продукции всех типов санитарно-гигиенического назначения,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ООО «Ультра Декор Рус» (производство бумаги-основы из готовой целлюлозы, 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Людиновская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«Калуга»).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АО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БиоРИМ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» (производство жидких и твердых лекарственных препаратов полного цикла,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«Калуга»);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ООО «БАЗИС» (производство эластичных медицинских изделий,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Людиновская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 ОЭЗ «Калуга») (подано заявление о расторжении),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ООО «ЕВРОКЛИМА РУС ПРОДАКШН» (производство систем обработки и кондиционирования воздуха,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площадка),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– 4 инвестиционных проекта включены в реестр инвестиционных проектов (общий объем заявленных инвестиций 8 238,89 млн. руб., количество рабочих мест – 87):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АО «Троицкая бумажная фабрика» (реконструкция технологического и энергетического оборудования),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lastRenderedPageBreak/>
              <w:t>2 проекта ООО «Нестле Россия» (расширение производственных мощностей фабрики влажных и сухих кормов для непродуктивных домашних животных),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Архбум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тиссью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групп» (склад готовой продукции со вспомогательными сооружениями);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– 3 соглашения о сотрудничестве в сфере реализации инвестиционных проектов (общий заявленный объем инвестиций 520 млн. руб., количество рабочих мест – 120) заключено с компаниями: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ООО «АМК-Троя Калуга» (изготовление столешниц, фасадов, стеновых панелей, угловых сегментов, индустриальный парк Ворсино, 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Пластвэй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>» (производство изделий из пластика),</w:t>
            </w:r>
          </w:p>
          <w:p w:rsidR="00372EE4" w:rsidRPr="00372EE4" w:rsidRDefault="00372EE4" w:rsidP="00372EE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ООО «МИЦУБИСИ МОТОРС РУС» (производство автомобилей марки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Mitsubishi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CE3EFB" w:rsidRPr="007265F9" w:rsidRDefault="00372EE4" w:rsidP="007265F9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– 1 соглашение об осуществлении деятельности на территории  ТОСЭР «Сосенский» Калужской области (общий заявленный объем инвестиций 335,0 млн. руб., количество рабочих мест – 22) заключено с ООО «РУСТРЕЙДИНГ» (производство сыровяленых мясных деликатесов, </w:t>
            </w:r>
            <w:proofErr w:type="spellStart"/>
            <w:r w:rsidRPr="00372EE4">
              <w:rPr>
                <w:rFonts w:ascii="Times New Roman" w:hAnsi="Times New Roman"/>
                <w:sz w:val="26"/>
                <w:szCs w:val="26"/>
              </w:rPr>
              <w:t>Козельский</w:t>
            </w:r>
            <w:proofErr w:type="spellEnd"/>
            <w:r w:rsidRPr="00372EE4">
              <w:rPr>
                <w:rFonts w:ascii="Times New Roman" w:hAnsi="Times New Roman"/>
                <w:sz w:val="26"/>
                <w:szCs w:val="26"/>
              </w:rPr>
              <w:t xml:space="preserve"> район).</w:t>
            </w:r>
          </w:p>
          <w:p w:rsidR="00CE3EFB" w:rsidRPr="00372EE4" w:rsidRDefault="00CE3EFB" w:rsidP="00847C39">
            <w:pPr>
              <w:tabs>
                <w:tab w:val="left" w:pos="828"/>
                <w:tab w:val="left" w:pos="1008"/>
              </w:tabs>
              <w:spacing w:after="120" w:line="240" w:lineRule="auto"/>
              <w:ind w:firstLine="6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72EE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Новостная лента – реализация инициативы</w:t>
            </w:r>
            <w:r w:rsidRPr="00372EE4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:rsidR="00372EE4" w:rsidRPr="00372EE4" w:rsidRDefault="00372EE4" w:rsidP="00B1226E">
            <w:pPr>
              <w:tabs>
                <w:tab w:val="left" w:pos="883"/>
              </w:tabs>
              <w:spacing w:after="0" w:line="240" w:lineRule="auto"/>
              <w:ind w:firstLine="569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Специализированный портал об инвестиционной деятельности в Калужской области расположен по адресу: </w:t>
            </w:r>
            <w:hyperlink r:id="rId8" w:history="1">
              <w:r w:rsidRPr="00372EE4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http://www.investkaluga.com</w:t>
              </w:r>
            </w:hyperlink>
            <w:r w:rsidRPr="00372E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2EE4">
              <w:rPr>
                <w:rFonts w:ascii="Times New Roman" w:hAnsi="Times New Roman"/>
                <w:sz w:val="26"/>
                <w:szCs w:val="26"/>
                <w:u w:val="single"/>
              </w:rPr>
              <w:t xml:space="preserve">. </w:t>
            </w:r>
          </w:p>
          <w:p w:rsidR="00372EE4" w:rsidRPr="00372EE4" w:rsidRDefault="00372EE4" w:rsidP="00B1226E">
            <w:pPr>
              <w:tabs>
                <w:tab w:val="left" w:pos="883"/>
              </w:tabs>
              <w:spacing w:after="0" w:line="240" w:lineRule="auto"/>
              <w:ind w:firstLine="5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На официальном портале органов власти Калужской области размещена информация:</w:t>
            </w:r>
          </w:p>
          <w:p w:rsidR="00372EE4" w:rsidRPr="00372EE4" w:rsidRDefault="00372EE4" w:rsidP="00B1226E">
            <w:pPr>
              <w:numPr>
                <w:ilvl w:val="0"/>
                <w:numId w:val="7"/>
              </w:numPr>
              <w:tabs>
                <w:tab w:val="left" w:pos="883"/>
              </w:tabs>
              <w:spacing w:after="0" w:line="240" w:lineRule="auto"/>
              <w:ind w:left="2" w:firstLine="569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По адресу: </w:t>
            </w:r>
            <w:hyperlink r:id="rId9" w:history="1">
              <w:r w:rsidRPr="00372EE4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http://admoblkaluga.ru/sub/strategic_pr/</w:t>
              </w:r>
            </w:hyperlink>
            <w:r w:rsidRPr="00372EE4">
              <w:rPr>
                <w:rFonts w:ascii="Times New Roman" w:hAnsi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  <w:r w:rsidRPr="00372EE4">
              <w:rPr>
                <w:rFonts w:ascii="Times New Roman" w:hAnsi="Times New Roman"/>
                <w:bCs/>
                <w:sz w:val="26"/>
                <w:szCs w:val="26"/>
              </w:rPr>
              <w:t xml:space="preserve">публикации официальной статистической информации для мониторинга хода исполнения поручений, содержащихся в указах Президента Российской Федерации от 7 мая 2012 г. № 596-606, </w:t>
            </w:r>
            <w:r w:rsidRPr="00372EE4">
              <w:rPr>
                <w:rFonts w:ascii="Times New Roman" w:hAnsi="Times New Roman"/>
                <w:bCs/>
                <w:sz w:val="26"/>
                <w:szCs w:val="26"/>
              </w:rPr>
              <w:br/>
              <w:t>в соответствии с Федеральным планом статистических работ;</w:t>
            </w:r>
          </w:p>
          <w:p w:rsidR="00372EE4" w:rsidRPr="00372EE4" w:rsidRDefault="00372EE4" w:rsidP="00B1226E">
            <w:pPr>
              <w:numPr>
                <w:ilvl w:val="0"/>
                <w:numId w:val="7"/>
              </w:numPr>
              <w:tabs>
                <w:tab w:val="left" w:pos="883"/>
              </w:tabs>
              <w:spacing w:after="0" w:line="240" w:lineRule="auto"/>
              <w:ind w:left="0" w:firstLine="5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 xml:space="preserve">По адресу: </w:t>
            </w:r>
            <w:hyperlink r:id="rId10" w:history="1">
              <w:r w:rsidRPr="00372EE4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http://www.admoblkaluga.ru/sub/econom/invest/gospod/</w:t>
              </w:r>
            </w:hyperlink>
            <w:r w:rsidRPr="00372EE4">
              <w:rPr>
                <w:rFonts w:ascii="Times New Roman" w:hAnsi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372EE4" w:rsidRPr="00372EE4" w:rsidRDefault="00372EE4" w:rsidP="00B1226E">
            <w:pPr>
              <w:tabs>
                <w:tab w:val="left" w:pos="883"/>
              </w:tabs>
              <w:spacing w:after="0" w:line="240" w:lineRule="auto"/>
              <w:ind w:firstLine="5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господдержка инвестиционной деятельности на территории Калужской области, показатели инвестиционной деятельности, презентационные материалы;</w:t>
            </w:r>
          </w:p>
          <w:p w:rsidR="00372EE4" w:rsidRPr="00372EE4" w:rsidRDefault="00372EE4" w:rsidP="00B1226E">
            <w:pPr>
              <w:numPr>
                <w:ilvl w:val="0"/>
                <w:numId w:val="7"/>
              </w:numPr>
              <w:tabs>
                <w:tab w:val="left" w:pos="883"/>
              </w:tabs>
              <w:spacing w:after="0" w:line="240" w:lineRule="auto"/>
              <w:ind w:left="33" w:firstLine="5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адресу: </w:t>
            </w:r>
          </w:p>
          <w:p w:rsidR="00372EE4" w:rsidRPr="00372EE4" w:rsidRDefault="007265F9" w:rsidP="00B1226E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372EE4" w:rsidRPr="00372EE4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http://www.admoblkaluga.ru/sub/econom/Gos_prog_razv/dokladi/</w:t>
              </w:r>
            </w:hyperlink>
            <w:r w:rsidR="00372EE4" w:rsidRPr="00372EE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45384" w:rsidRPr="00BF6CFB" w:rsidRDefault="00372EE4" w:rsidP="00B1226E">
            <w:pPr>
              <w:tabs>
                <w:tab w:val="left" w:pos="828"/>
                <w:tab w:val="left" w:pos="883"/>
                <w:tab w:val="left" w:pos="1008"/>
              </w:tabs>
              <w:spacing w:after="0" w:line="240" w:lineRule="auto"/>
              <w:ind w:left="2" w:hanging="2"/>
              <w:contextualSpacing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72EE4">
              <w:rPr>
                <w:rFonts w:ascii="Times New Roman" w:hAnsi="Times New Roman"/>
                <w:sz w:val="26"/>
                <w:szCs w:val="26"/>
              </w:rPr>
              <w:t>годовые отчеты о ходе реализации государственной программы Калужской области «Экономическое развитие в Калужской области».</w:t>
            </w:r>
          </w:p>
        </w:tc>
      </w:tr>
      <w:tr w:rsidR="006921D3" w:rsidRPr="006921D3" w:rsidTr="009045F7">
        <w:trPr>
          <w:trHeight w:val="416"/>
        </w:trPr>
        <w:tc>
          <w:tcPr>
            <w:tcW w:w="15417" w:type="dxa"/>
            <w:gridSpan w:val="3"/>
          </w:tcPr>
          <w:p w:rsidR="00F52DE7" w:rsidRPr="006921D3" w:rsidRDefault="00F52DE7" w:rsidP="006921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Министерство труда и социальной защиты Калужской области</w:t>
            </w:r>
          </w:p>
        </w:tc>
      </w:tr>
      <w:tr w:rsidR="006921D3" w:rsidRPr="006921D3" w:rsidTr="00F52DE7">
        <w:trPr>
          <w:trHeight w:val="416"/>
        </w:trPr>
        <w:tc>
          <w:tcPr>
            <w:tcW w:w="3626" w:type="dxa"/>
          </w:tcPr>
          <w:p w:rsidR="00F52DE7" w:rsidRPr="006921D3" w:rsidRDefault="00F52DE7" w:rsidP="006921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Указ Президента Российской Федерации от 07.05.2012 № 597 «О мероприятиях по реализации государственной социальной политики»</w:t>
            </w:r>
          </w:p>
        </w:tc>
        <w:tc>
          <w:tcPr>
            <w:tcW w:w="3316" w:type="dxa"/>
          </w:tcPr>
          <w:p w:rsidR="00F52DE7" w:rsidRPr="006921D3" w:rsidRDefault="00F52DE7" w:rsidP="00692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Увеличение к 2020 году числа высококвалифицированных работников, с тем чтобы оно составляло не менее трети от числа квалифицированных работников</w:t>
            </w:r>
          </w:p>
          <w:p w:rsidR="00F52DE7" w:rsidRPr="006921D3" w:rsidRDefault="00F52DE7" w:rsidP="00692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:rsidR="00F52DE7" w:rsidRPr="006921D3" w:rsidRDefault="00F52DE7" w:rsidP="00692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2020 год установлен показатель результативности реализации мероприятия – 33,3%</w:t>
            </w:r>
          </w:p>
        </w:tc>
        <w:tc>
          <w:tcPr>
            <w:tcW w:w="8475" w:type="dxa"/>
          </w:tcPr>
          <w:p w:rsidR="00F52DE7" w:rsidRPr="006921D3" w:rsidRDefault="00F52DE7" w:rsidP="000245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Калужская область</w:t>
            </w:r>
            <w:r w:rsidR="0084214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:</w:t>
            </w:r>
          </w:p>
          <w:p w:rsidR="00F52DE7" w:rsidRPr="006921D3" w:rsidRDefault="00F52DE7" w:rsidP="006921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Документы: </w:t>
            </w:r>
          </w:p>
          <w:p w:rsidR="00DD2BF3" w:rsidRPr="006921D3" w:rsidRDefault="00DD2BF3" w:rsidP="006921D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</w:p>
          <w:p w:rsidR="00965B38" w:rsidRPr="008B199E" w:rsidRDefault="00965B38" w:rsidP="007265F9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B199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государственная программа отсутству</w:t>
            </w:r>
            <w:r w:rsidR="003D263B" w:rsidRPr="008B199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ет как на региональном, </w:t>
            </w:r>
            <w:r w:rsidR="003D263B" w:rsidRPr="008B199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так и </w:t>
            </w:r>
            <w:r w:rsidRPr="008B199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 федеральном уровне.</w:t>
            </w:r>
          </w:p>
          <w:p w:rsidR="00DD2BF3" w:rsidRPr="008B199E" w:rsidRDefault="00965B38" w:rsidP="00241EEB">
            <w:pPr>
              <w:spacing w:after="120" w:line="240" w:lineRule="auto"/>
              <w:ind w:firstLine="33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8B199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Исполнение инициативы: </w:t>
            </w:r>
          </w:p>
          <w:p w:rsidR="008B199E" w:rsidRPr="008B199E" w:rsidRDefault="008B199E" w:rsidP="008B199E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99E">
              <w:rPr>
                <w:rFonts w:ascii="Times New Roman" w:hAnsi="Times New Roman"/>
                <w:sz w:val="26"/>
                <w:szCs w:val="26"/>
              </w:rPr>
              <w:t>Данный показатель рассчитывается по итогам года, относится к компетенции Росстата.</w:t>
            </w:r>
          </w:p>
          <w:p w:rsidR="008B199E" w:rsidRPr="008B199E" w:rsidRDefault="008B199E" w:rsidP="008B199E">
            <w:pPr>
              <w:spacing w:after="0" w:line="240" w:lineRule="auto"/>
              <w:ind w:firstLine="4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B199E">
              <w:rPr>
                <w:rFonts w:ascii="Times New Roman" w:eastAsia="Calibri" w:hAnsi="Times New Roman"/>
                <w:sz w:val="26"/>
                <w:szCs w:val="26"/>
              </w:rPr>
              <w:t xml:space="preserve">Установленный показатель 2020 года – 33,3%. Ежегодные плановые значения показателя не утверждаются. </w:t>
            </w:r>
          </w:p>
          <w:p w:rsidR="008B199E" w:rsidRPr="008B199E" w:rsidRDefault="008B199E" w:rsidP="007265F9">
            <w:pPr>
              <w:tabs>
                <w:tab w:val="left" w:pos="175"/>
                <w:tab w:val="left" w:pos="6663"/>
              </w:tabs>
              <w:spacing w:after="0" w:line="240" w:lineRule="auto"/>
              <w:ind w:firstLine="4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B199E">
              <w:rPr>
                <w:rFonts w:ascii="Times New Roman" w:eastAsia="Calibri" w:hAnsi="Times New Roman"/>
                <w:bCs/>
                <w:sz w:val="26"/>
                <w:szCs w:val="26"/>
              </w:rPr>
              <w:t>По данным Росстата за 201</w:t>
            </w:r>
            <w:r w:rsidR="008E68CA">
              <w:rPr>
                <w:rFonts w:ascii="Times New Roman" w:eastAsia="Calibri" w:hAnsi="Times New Roman"/>
                <w:bCs/>
                <w:sz w:val="26"/>
                <w:szCs w:val="26"/>
              </w:rPr>
              <w:t>9</w:t>
            </w:r>
            <w:r w:rsidRPr="008B199E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год в Калужской области показатель результативности реализации мероприятий по показателю составил 2</w:t>
            </w:r>
            <w:r w:rsidR="008E68CA">
              <w:rPr>
                <w:rFonts w:ascii="Times New Roman" w:eastAsia="Calibri" w:hAnsi="Times New Roman"/>
                <w:bCs/>
                <w:sz w:val="26"/>
                <w:szCs w:val="26"/>
              </w:rPr>
              <w:t>7,7</w:t>
            </w:r>
            <w:r w:rsidRPr="008B199E">
              <w:rPr>
                <w:rFonts w:ascii="Times New Roman" w:eastAsia="Calibri" w:hAnsi="Times New Roman"/>
                <w:bCs/>
                <w:sz w:val="26"/>
                <w:szCs w:val="26"/>
              </w:rPr>
              <w:t>% (</w:t>
            </w:r>
            <w:r w:rsidRPr="008B199E">
              <w:rPr>
                <w:rFonts w:ascii="Times New Roman" w:eastAsia="Calibri" w:hAnsi="Times New Roman"/>
                <w:sz w:val="26"/>
                <w:szCs w:val="26"/>
              </w:rPr>
              <w:t xml:space="preserve">2012 год – 25,9%, 2013 год – 27,7%, 2014 год – 28,6%, 2015 год – 28,3%, 2016 год – 28%, </w:t>
            </w:r>
            <w:r w:rsidRPr="008E68CA">
              <w:rPr>
                <w:rFonts w:ascii="Times New Roman" w:eastAsia="Calibri" w:hAnsi="Times New Roman"/>
                <w:sz w:val="26"/>
                <w:szCs w:val="26"/>
              </w:rPr>
              <w:t>2017 год – 28,5%</w:t>
            </w:r>
            <w:r w:rsidR="008E68CA" w:rsidRPr="008E68CA">
              <w:rPr>
                <w:rFonts w:ascii="Times New Roman" w:eastAsia="Calibri" w:hAnsi="Times New Roman"/>
                <w:sz w:val="26"/>
                <w:szCs w:val="26"/>
              </w:rPr>
              <w:t>, 2018 год – 28,2%</w:t>
            </w:r>
            <w:r w:rsidRPr="008E68CA">
              <w:rPr>
                <w:rFonts w:ascii="Times New Roman" w:eastAsia="Calibri" w:hAnsi="Times New Roman"/>
                <w:sz w:val="26"/>
                <w:szCs w:val="26"/>
              </w:rPr>
              <w:t>).</w:t>
            </w:r>
          </w:p>
          <w:p w:rsidR="008B199E" w:rsidRPr="008B199E" w:rsidRDefault="008B199E" w:rsidP="00241EEB">
            <w:pPr>
              <w:tabs>
                <w:tab w:val="left" w:pos="175"/>
                <w:tab w:val="left" w:pos="6663"/>
              </w:tabs>
              <w:spacing w:after="12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  <w:r w:rsidRPr="008B199E"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  <w:t>Новостная лента-реализация инициативы:</w:t>
            </w:r>
          </w:p>
          <w:p w:rsidR="0072364F" w:rsidRPr="007265F9" w:rsidRDefault="008B199E" w:rsidP="007265F9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99E">
              <w:rPr>
                <w:rFonts w:ascii="Times New Roman" w:hAnsi="Times New Roman"/>
                <w:sz w:val="26"/>
                <w:szCs w:val="26"/>
              </w:rPr>
              <w:t xml:space="preserve">В 2020 году в рамках национальных проектов «Демография» и «Производительность труда и поддержка занятости» реализуются мероприятия по обучению граждан различных категорий. На данные цели выделены средства федерального и областного бюджетов в размере </w:t>
            </w:r>
            <w:r w:rsidR="0008328A">
              <w:rPr>
                <w:rFonts w:ascii="Times New Roman" w:hAnsi="Times New Roman"/>
                <w:sz w:val="26"/>
                <w:szCs w:val="26"/>
              </w:rPr>
              <w:t xml:space="preserve">20698,64 тыс. рублей, </w:t>
            </w:r>
            <w:r w:rsidRPr="008B199E">
              <w:rPr>
                <w:rFonts w:ascii="Times New Roman" w:hAnsi="Times New Roman"/>
                <w:sz w:val="26"/>
                <w:szCs w:val="26"/>
              </w:rPr>
              <w:t xml:space="preserve">израсходовано </w:t>
            </w:r>
            <w:r w:rsidR="0008328A">
              <w:rPr>
                <w:rFonts w:ascii="Times New Roman" w:hAnsi="Times New Roman"/>
                <w:sz w:val="26"/>
                <w:szCs w:val="26"/>
              </w:rPr>
              <w:t>20592,19</w:t>
            </w:r>
            <w:r w:rsidRPr="008B199E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  <w:tr w:rsidR="006921D3" w:rsidRPr="006921D3" w:rsidTr="002C445D">
        <w:trPr>
          <w:trHeight w:val="416"/>
        </w:trPr>
        <w:tc>
          <w:tcPr>
            <w:tcW w:w="15417" w:type="dxa"/>
            <w:gridSpan w:val="3"/>
          </w:tcPr>
          <w:p w:rsidR="007E48DD" w:rsidRPr="006921D3" w:rsidRDefault="007E48DD" w:rsidP="006921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Министерство образования и науки Калужской области</w:t>
            </w:r>
          </w:p>
        </w:tc>
      </w:tr>
      <w:tr w:rsidR="006921D3" w:rsidRPr="006921D3" w:rsidTr="00F52DE7">
        <w:trPr>
          <w:trHeight w:val="416"/>
        </w:trPr>
        <w:tc>
          <w:tcPr>
            <w:tcW w:w="3626" w:type="dxa"/>
          </w:tcPr>
          <w:p w:rsidR="007E48DD" w:rsidRPr="006921D3" w:rsidRDefault="007E48DD" w:rsidP="006921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Указ Президента Российской Федерации от 7 мая 2012 г. № 599 «О мерах по реализации государственной политики в области </w:t>
            </w:r>
            <w:r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образования и науки»</w:t>
            </w:r>
          </w:p>
        </w:tc>
        <w:tc>
          <w:tcPr>
            <w:tcW w:w="3316" w:type="dxa"/>
          </w:tcPr>
          <w:p w:rsidR="007E48DD" w:rsidRPr="006921D3" w:rsidRDefault="007E48DD" w:rsidP="00692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Увеличение к 2020 году числа детей в возрасте от 5 до 18 лет, обучающихся по дополнительным образовательным </w:t>
            </w:r>
            <w:r w:rsidRPr="006921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8475" w:type="dxa"/>
          </w:tcPr>
          <w:p w:rsidR="006A5821" w:rsidRPr="006921D3" w:rsidRDefault="006A5821" w:rsidP="000D03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lastRenderedPageBreak/>
              <w:t>Калужская область</w:t>
            </w:r>
            <w:r w:rsidR="000D037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:</w:t>
            </w:r>
          </w:p>
          <w:p w:rsidR="00176164" w:rsidRPr="006921D3" w:rsidRDefault="007E48DD" w:rsidP="009F5B00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Документы:</w:t>
            </w:r>
          </w:p>
          <w:p w:rsidR="00176164" w:rsidRPr="006921D3" w:rsidRDefault="00EA1001" w:rsidP="009F5B00">
            <w:pPr>
              <w:shd w:val="clear" w:color="auto" w:fill="FFFFFF"/>
              <w:spacing w:before="120" w:after="0" w:line="240" w:lineRule="auto"/>
              <w:ind w:firstLine="429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п</w:t>
            </w:r>
            <w:r w:rsidR="00176164" w:rsidRPr="006921D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остановление Правительства Калужской области от 29.01.2019 </w:t>
            </w:r>
            <w:r w:rsidR="007265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="00176164" w:rsidRPr="006921D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№ 38 «Об утверждении государственной программы Калужской области </w:t>
            </w:r>
            <w:r w:rsidR="00176164" w:rsidRPr="006921D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lastRenderedPageBreak/>
              <w:t>«Развитие общего и дополнительного о</w:t>
            </w:r>
            <w:r w:rsidR="00F874B6" w:rsidRPr="006921D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бразования в Калужской области».</w:t>
            </w:r>
          </w:p>
          <w:p w:rsidR="00176164" w:rsidRPr="006921D3" w:rsidRDefault="00176164" w:rsidP="006921D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6921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Исполнение инициативы:</w:t>
            </w:r>
          </w:p>
          <w:p w:rsidR="009F09F9" w:rsidRPr="009F09F9" w:rsidRDefault="00F4651C" w:rsidP="009F5B00">
            <w:pPr>
              <w:shd w:val="clear" w:color="auto" w:fill="FFFFFF"/>
              <w:spacing w:before="120" w:after="0"/>
              <w:ind w:firstLine="459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По состоянию на декабрь 2020 года р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егиональная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система дополнительного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образования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включает 98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организаций различной ведомственной принадлежности. Всего на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базе организаций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дополнительного образования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детей создано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87775    бюджетных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места для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организации дополнительного образования детей.   Охват детей всеми формами дополнительного образования от общего количества детей в возрасте 5-18 лет по Калужской области 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по итогам 2020 года 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состав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ил</w:t>
            </w:r>
            <w:r w:rsidR="009F09F9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76% (план – 75%).</w:t>
            </w:r>
          </w:p>
          <w:p w:rsidR="009F09F9" w:rsidRPr="009F09F9" w:rsidRDefault="009F09F9" w:rsidP="00E135C1">
            <w:pPr>
              <w:shd w:val="clear" w:color="auto" w:fill="FFFFFF"/>
              <w:spacing w:after="0"/>
              <w:ind w:firstLine="459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С 2020 года на территории Калужской области реализуется проект «Успех каждого ребенка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», предусматривающий</w:t>
            </w:r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мероприятия по развитию системы дополнительного образования детей Калужской области</w:t>
            </w:r>
          </w:p>
          <w:p w:rsidR="0020479E" w:rsidRDefault="009F09F9" w:rsidP="00D968A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Между Правительством Калужской области и Министерством просвещения Российской Федерации подписано соглашение № 073-09-2020-220  о предоставлении субсидии  из федерального бюджета бюджету Калужской области на реализацию федерального проекта «Успех каждого ребенка»  национального проекта «Образование» в рамках государственной программы Российской Федерации «Развитие образования»  на реализацию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направленностей, создание  мобильного  технопарка  (для детей, проживающих в сельской местности и малых городах), создание детского технопарка «</w:t>
            </w:r>
            <w:proofErr w:type="spellStart"/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Кванториум</w:t>
            </w:r>
            <w:proofErr w:type="spellEnd"/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» в городе Обнинск. </w:t>
            </w:r>
            <w:r w:rsidR="00D968A6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По итогам реализации соглашения в 2020 году в городе Обнинске был полностью укомплектован и открыт детский технопарк «</w:t>
            </w:r>
            <w:proofErr w:type="spellStart"/>
            <w:r w:rsidR="00D968A6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Кванториум</w:t>
            </w:r>
            <w:proofErr w:type="spellEnd"/>
            <w:r w:rsidR="00D968A6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». Все эти мероприятия позволят вовлечь дополнительно в систему дополнительного образования не менее 15 </w:t>
            </w:r>
            <w:r w:rsidR="00D968A6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lastRenderedPageBreak/>
              <w:t xml:space="preserve">тысяч детей на бюджетной основе, решить </w:t>
            </w:r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проблему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неравномерного охвата</w:t>
            </w:r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детей услугами дополнительного образования в различных муниципальных образованиях и обеспечить реальную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возможность каждому</w:t>
            </w:r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ребенку получения </w:t>
            </w:r>
            <w:r w:rsidR="004A1F4F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услуг качественного </w:t>
            </w:r>
            <w:r w:rsidR="00E135C1"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дополнительного инженерного</w:t>
            </w:r>
            <w:r w:rsidRPr="009F09F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образования</w:t>
            </w:r>
            <w:r w:rsidR="004A1F4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.</w:t>
            </w:r>
          </w:p>
          <w:p w:rsidR="00D614C1" w:rsidRDefault="00D614C1" w:rsidP="00D968A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8B199E"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  <w:t>Новостная лента-реализация инициативы:</w:t>
            </w:r>
          </w:p>
          <w:p w:rsidR="00930C88" w:rsidRPr="00930C88" w:rsidRDefault="00930C88" w:rsidP="00D968A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930C88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На официальном портале органов власти Калужской области размещена информация:</w:t>
            </w:r>
          </w:p>
          <w:p w:rsidR="00D614C1" w:rsidRDefault="007265F9" w:rsidP="00D968A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</w:pPr>
            <w:hyperlink r:id="rId12" w:history="1">
              <w:r w:rsidR="00D614C1" w:rsidRPr="00B13B59">
                <w:rPr>
                  <w:rStyle w:val="a4"/>
                  <w:rFonts w:ascii="Times New Roman" w:eastAsia="Calibri" w:hAnsi="Times New Roman"/>
                  <w:bCs/>
                  <w:sz w:val="26"/>
                  <w:szCs w:val="26"/>
                </w:rPr>
                <w:t>http://admoblkaluga.ru/sub/education/news/detail.php?ID=297253</w:t>
              </w:r>
            </w:hyperlink>
          </w:p>
          <w:p w:rsidR="00D614C1" w:rsidRPr="00D614C1" w:rsidRDefault="00D614C1" w:rsidP="00D968A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921D3" w:rsidRPr="006921D3" w:rsidTr="00F52DE7">
        <w:trPr>
          <w:trHeight w:val="416"/>
        </w:trPr>
        <w:tc>
          <w:tcPr>
            <w:tcW w:w="3626" w:type="dxa"/>
          </w:tcPr>
          <w:p w:rsidR="006A5821" w:rsidRPr="006921D3" w:rsidRDefault="006A5821" w:rsidP="006921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Указ Президента Российской Федерации от 7 мая 2012 г. № 599 «О мерах по реализации государственной политики в области образования и науки»</w:t>
            </w:r>
          </w:p>
        </w:tc>
        <w:tc>
          <w:tcPr>
            <w:tcW w:w="3316" w:type="dxa"/>
          </w:tcPr>
          <w:p w:rsidR="006A5821" w:rsidRPr="006921D3" w:rsidRDefault="006A5821" w:rsidP="00692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921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процентов</w:t>
            </w:r>
          </w:p>
        </w:tc>
        <w:tc>
          <w:tcPr>
            <w:tcW w:w="8475" w:type="dxa"/>
          </w:tcPr>
          <w:p w:rsidR="006A5821" w:rsidRPr="00852994" w:rsidRDefault="006A5821" w:rsidP="006921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8529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Калужская область</w:t>
            </w:r>
            <w:r w:rsidR="00D96A89" w:rsidRPr="008529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:</w:t>
            </w:r>
          </w:p>
          <w:p w:rsidR="00DD2BF3" w:rsidRPr="00852994" w:rsidRDefault="006A5821" w:rsidP="006921D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29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Документы:</w:t>
            </w:r>
            <w:r w:rsidR="00176164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A5821" w:rsidRPr="00852994" w:rsidRDefault="00F874B6" w:rsidP="00883831">
            <w:pPr>
              <w:spacing w:line="240" w:lineRule="auto"/>
              <w:ind w:firstLine="42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</w:t>
            </w:r>
            <w:r w:rsidR="00176164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остановление Правительства Калужской области от 30.12.2013 </w:t>
            </w:r>
            <w:r w:rsidR="007265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="00176164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744 «Об утверждении государственной программы «Доступная среда в Калужской области»</w:t>
            </w:r>
            <w:r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A5821" w:rsidRPr="00852994" w:rsidRDefault="006A5821" w:rsidP="006921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8529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Исполнение инициативы:</w:t>
            </w:r>
          </w:p>
          <w:p w:rsidR="005B7183" w:rsidRPr="00852994" w:rsidRDefault="002E6C49" w:rsidP="009F5B00">
            <w:pPr>
              <w:shd w:val="clear" w:color="auto" w:fill="FFFFFF"/>
              <w:spacing w:before="120" w:after="0"/>
              <w:ind w:firstLine="45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2019 году</w:t>
            </w:r>
            <w:r w:rsidR="005B7183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территории региона реализовывалось соглашение между Министерством просвещения Российской Федерации и Правительством Калужской области о реализации мероприятия 2.2 «Предоставление государственных гарантий инвалидам» Государственной программы Российской Федерации «Доступная среда» на 2020-2025 годы. По итогам 2019 года бюджетные средства, выделенные в рамках соглашения, освоены в полном объеме. В 2020 году бюджетные средства на реализацию мероприятий в рамках достижения показателя «Увеличение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</w:t>
            </w:r>
            <w:r w:rsidR="00D06313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овья, с 3 до 25 процентов» не </w:t>
            </w:r>
            <w:r w:rsidR="005B7183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планирова</w:t>
            </w:r>
            <w:r w:rsidR="00D06313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лись</w:t>
            </w:r>
            <w:r w:rsidR="005B7183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F2B57" w:rsidRPr="00852994" w:rsidRDefault="005B7183" w:rsidP="00D06313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</w:pPr>
            <w:r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Значение показателя «Удельный вес числа организаций среднего профессионального образования и организаций высшего образования, здания которых приспособлены для обучения лиц с ограниченными возможностями здоровья» составило п</w:t>
            </w:r>
            <w:r w:rsidR="002E6C49"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итогам 2020 года 27</w:t>
            </w:r>
            <w:r w:rsidRPr="008529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%, что превышает значение целевого показателя на 2%, планового показателя (установленного постановлением Правительства Калужской области от 30.12.2013 № 744 «Об утверждении государственной программы «Доступная среда в Калужской области», наименование показателя – «Доля государственных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государственных профессиональных образовательных организаций») на 12%.</w:t>
            </w:r>
          </w:p>
        </w:tc>
      </w:tr>
    </w:tbl>
    <w:p w:rsidR="00D831C5" w:rsidRPr="006921D3" w:rsidRDefault="00D831C5" w:rsidP="006921D3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D831C5" w:rsidRPr="006921D3" w:rsidSect="004A6130">
      <w:headerReference w:type="default" r:id="rId13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C3" w:rsidRDefault="00725FC3" w:rsidP="004A6130">
      <w:pPr>
        <w:spacing w:after="0" w:line="240" w:lineRule="auto"/>
      </w:pPr>
      <w:r>
        <w:separator/>
      </w:r>
    </w:p>
  </w:endnote>
  <w:endnote w:type="continuationSeparator" w:id="0">
    <w:p w:rsidR="00725FC3" w:rsidRDefault="00725FC3" w:rsidP="004A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C3" w:rsidRDefault="00725FC3" w:rsidP="004A6130">
      <w:pPr>
        <w:spacing w:after="0" w:line="240" w:lineRule="auto"/>
      </w:pPr>
      <w:r>
        <w:separator/>
      </w:r>
    </w:p>
  </w:footnote>
  <w:footnote w:type="continuationSeparator" w:id="0">
    <w:p w:rsidR="00725FC3" w:rsidRDefault="00725FC3" w:rsidP="004A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4A613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65F9">
      <w:rPr>
        <w:noProof/>
      </w:rPr>
      <w:t>2</w:t>
    </w:r>
    <w:r>
      <w:fldChar w:fldCharType="end"/>
    </w:r>
  </w:p>
  <w:p w:rsidR="004A6130" w:rsidRDefault="004A61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0667"/>
    <w:multiLevelType w:val="hybridMultilevel"/>
    <w:tmpl w:val="E72867DC"/>
    <w:lvl w:ilvl="0" w:tplc="FA92533E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291848BD"/>
    <w:multiLevelType w:val="hybridMultilevel"/>
    <w:tmpl w:val="D1007C02"/>
    <w:lvl w:ilvl="0" w:tplc="C212B22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1A32FF"/>
    <w:multiLevelType w:val="hybridMultilevel"/>
    <w:tmpl w:val="D254A0C4"/>
    <w:lvl w:ilvl="0" w:tplc="2800E7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5F3E81"/>
    <w:multiLevelType w:val="hybridMultilevel"/>
    <w:tmpl w:val="4CC0C8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C88152C"/>
    <w:multiLevelType w:val="hybridMultilevel"/>
    <w:tmpl w:val="7EA03560"/>
    <w:lvl w:ilvl="0" w:tplc="EECE0B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9714B"/>
    <w:multiLevelType w:val="hybridMultilevel"/>
    <w:tmpl w:val="9124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9153B"/>
    <w:multiLevelType w:val="hybridMultilevel"/>
    <w:tmpl w:val="0882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CF"/>
    <w:rsid w:val="00002D4E"/>
    <w:rsid w:val="0001448F"/>
    <w:rsid w:val="000245CD"/>
    <w:rsid w:val="00041225"/>
    <w:rsid w:val="00051223"/>
    <w:rsid w:val="00070E31"/>
    <w:rsid w:val="000740CC"/>
    <w:rsid w:val="0008328A"/>
    <w:rsid w:val="000A1CCE"/>
    <w:rsid w:val="000A1E95"/>
    <w:rsid w:val="000B4EC2"/>
    <w:rsid w:val="000C4596"/>
    <w:rsid w:val="000D0372"/>
    <w:rsid w:val="000D1D72"/>
    <w:rsid w:val="000E2155"/>
    <w:rsid w:val="000F2B57"/>
    <w:rsid w:val="00103FCF"/>
    <w:rsid w:val="00127E69"/>
    <w:rsid w:val="0013499C"/>
    <w:rsid w:val="00141C14"/>
    <w:rsid w:val="00143C6A"/>
    <w:rsid w:val="00146904"/>
    <w:rsid w:val="00152512"/>
    <w:rsid w:val="00161820"/>
    <w:rsid w:val="00162B7B"/>
    <w:rsid w:val="00163FCF"/>
    <w:rsid w:val="00173D86"/>
    <w:rsid w:val="00176164"/>
    <w:rsid w:val="00181016"/>
    <w:rsid w:val="00194629"/>
    <w:rsid w:val="001A1677"/>
    <w:rsid w:val="001A1D13"/>
    <w:rsid w:val="001C3ACA"/>
    <w:rsid w:val="001D3317"/>
    <w:rsid w:val="001D61FE"/>
    <w:rsid w:val="001E3421"/>
    <w:rsid w:val="0020479E"/>
    <w:rsid w:val="002325DC"/>
    <w:rsid w:val="00236D48"/>
    <w:rsid w:val="00241EEB"/>
    <w:rsid w:val="00244D73"/>
    <w:rsid w:val="00250339"/>
    <w:rsid w:val="0025045F"/>
    <w:rsid w:val="00263F54"/>
    <w:rsid w:val="00281C6C"/>
    <w:rsid w:val="00286685"/>
    <w:rsid w:val="00292830"/>
    <w:rsid w:val="002A657B"/>
    <w:rsid w:val="002A7EB1"/>
    <w:rsid w:val="002B2051"/>
    <w:rsid w:val="002C39D8"/>
    <w:rsid w:val="002D7C81"/>
    <w:rsid w:val="002E6C49"/>
    <w:rsid w:val="002F0012"/>
    <w:rsid w:val="002F7AD0"/>
    <w:rsid w:val="00316BCC"/>
    <w:rsid w:val="003332E0"/>
    <w:rsid w:val="00345384"/>
    <w:rsid w:val="003616E0"/>
    <w:rsid w:val="00372EE4"/>
    <w:rsid w:val="003813E9"/>
    <w:rsid w:val="003B5600"/>
    <w:rsid w:val="003C3C34"/>
    <w:rsid w:val="003D263B"/>
    <w:rsid w:val="003E14F9"/>
    <w:rsid w:val="00401C8D"/>
    <w:rsid w:val="00407BC6"/>
    <w:rsid w:val="00410B44"/>
    <w:rsid w:val="0042491C"/>
    <w:rsid w:val="00433151"/>
    <w:rsid w:val="00441320"/>
    <w:rsid w:val="0045602B"/>
    <w:rsid w:val="004655D3"/>
    <w:rsid w:val="004672E2"/>
    <w:rsid w:val="004A1F4F"/>
    <w:rsid w:val="004A6130"/>
    <w:rsid w:val="004B7A93"/>
    <w:rsid w:val="004C7FD0"/>
    <w:rsid w:val="00503280"/>
    <w:rsid w:val="005067CB"/>
    <w:rsid w:val="005179FF"/>
    <w:rsid w:val="00517C11"/>
    <w:rsid w:val="00522EF8"/>
    <w:rsid w:val="0053136C"/>
    <w:rsid w:val="0053392C"/>
    <w:rsid w:val="00545B46"/>
    <w:rsid w:val="005530F6"/>
    <w:rsid w:val="005860C3"/>
    <w:rsid w:val="005A19E5"/>
    <w:rsid w:val="005A2168"/>
    <w:rsid w:val="005A3B38"/>
    <w:rsid w:val="005A7A8A"/>
    <w:rsid w:val="005B46C0"/>
    <w:rsid w:val="005B6277"/>
    <w:rsid w:val="005B7183"/>
    <w:rsid w:val="005C2BEC"/>
    <w:rsid w:val="005D3C1F"/>
    <w:rsid w:val="005D41F5"/>
    <w:rsid w:val="005D61E1"/>
    <w:rsid w:val="005E3CEB"/>
    <w:rsid w:val="005F6867"/>
    <w:rsid w:val="005F7789"/>
    <w:rsid w:val="0062040D"/>
    <w:rsid w:val="00637F25"/>
    <w:rsid w:val="00642E33"/>
    <w:rsid w:val="0064391D"/>
    <w:rsid w:val="00643F34"/>
    <w:rsid w:val="00644115"/>
    <w:rsid w:val="006443FA"/>
    <w:rsid w:val="00662CF4"/>
    <w:rsid w:val="00675FF3"/>
    <w:rsid w:val="006814AF"/>
    <w:rsid w:val="0068762B"/>
    <w:rsid w:val="006921D3"/>
    <w:rsid w:val="006A5821"/>
    <w:rsid w:val="006C32A5"/>
    <w:rsid w:val="006F0700"/>
    <w:rsid w:val="006F4987"/>
    <w:rsid w:val="00701476"/>
    <w:rsid w:val="00707474"/>
    <w:rsid w:val="0072364F"/>
    <w:rsid w:val="00725FC3"/>
    <w:rsid w:val="007265F9"/>
    <w:rsid w:val="00735ED6"/>
    <w:rsid w:val="00750515"/>
    <w:rsid w:val="0076144C"/>
    <w:rsid w:val="00787FD9"/>
    <w:rsid w:val="00791B52"/>
    <w:rsid w:val="007B06D8"/>
    <w:rsid w:val="007C1DFF"/>
    <w:rsid w:val="007C4D6B"/>
    <w:rsid w:val="007D458C"/>
    <w:rsid w:val="007E48DD"/>
    <w:rsid w:val="007F1683"/>
    <w:rsid w:val="00802EA9"/>
    <w:rsid w:val="00831374"/>
    <w:rsid w:val="00842148"/>
    <w:rsid w:val="00847C39"/>
    <w:rsid w:val="0085033D"/>
    <w:rsid w:val="00852994"/>
    <w:rsid w:val="008610F7"/>
    <w:rsid w:val="00872FBD"/>
    <w:rsid w:val="008742F3"/>
    <w:rsid w:val="00875961"/>
    <w:rsid w:val="008772FA"/>
    <w:rsid w:val="00883831"/>
    <w:rsid w:val="008B199E"/>
    <w:rsid w:val="008B3CF5"/>
    <w:rsid w:val="008B3D45"/>
    <w:rsid w:val="008C3283"/>
    <w:rsid w:val="008C3F7D"/>
    <w:rsid w:val="008D361F"/>
    <w:rsid w:val="008E68CA"/>
    <w:rsid w:val="008F697A"/>
    <w:rsid w:val="0090559F"/>
    <w:rsid w:val="009143D9"/>
    <w:rsid w:val="00930C88"/>
    <w:rsid w:val="00935BBF"/>
    <w:rsid w:val="00942B49"/>
    <w:rsid w:val="00946FBD"/>
    <w:rsid w:val="00965B38"/>
    <w:rsid w:val="00971761"/>
    <w:rsid w:val="00977B89"/>
    <w:rsid w:val="009806B9"/>
    <w:rsid w:val="00981543"/>
    <w:rsid w:val="009A4134"/>
    <w:rsid w:val="009C48D5"/>
    <w:rsid w:val="009D18A9"/>
    <w:rsid w:val="009D493E"/>
    <w:rsid w:val="009F09F9"/>
    <w:rsid w:val="009F5B00"/>
    <w:rsid w:val="00A01D9C"/>
    <w:rsid w:val="00A33744"/>
    <w:rsid w:val="00A33CB7"/>
    <w:rsid w:val="00A52EBC"/>
    <w:rsid w:val="00A54D71"/>
    <w:rsid w:val="00A63CB6"/>
    <w:rsid w:val="00A732E7"/>
    <w:rsid w:val="00A9189B"/>
    <w:rsid w:val="00AA05C3"/>
    <w:rsid w:val="00AB0596"/>
    <w:rsid w:val="00AC703D"/>
    <w:rsid w:val="00AD0FF2"/>
    <w:rsid w:val="00AD4CB6"/>
    <w:rsid w:val="00AE1F86"/>
    <w:rsid w:val="00AE29DE"/>
    <w:rsid w:val="00AF2C12"/>
    <w:rsid w:val="00B1226E"/>
    <w:rsid w:val="00B225EE"/>
    <w:rsid w:val="00B41C11"/>
    <w:rsid w:val="00B554D5"/>
    <w:rsid w:val="00B66172"/>
    <w:rsid w:val="00B71896"/>
    <w:rsid w:val="00B86FFF"/>
    <w:rsid w:val="00B93A15"/>
    <w:rsid w:val="00B95769"/>
    <w:rsid w:val="00BA69B8"/>
    <w:rsid w:val="00BD2B39"/>
    <w:rsid w:val="00BD3EB9"/>
    <w:rsid w:val="00BD44CB"/>
    <w:rsid w:val="00BD6FBE"/>
    <w:rsid w:val="00BE5D85"/>
    <w:rsid w:val="00BE7C79"/>
    <w:rsid w:val="00BF0083"/>
    <w:rsid w:val="00BF6CFB"/>
    <w:rsid w:val="00C00E21"/>
    <w:rsid w:val="00C430A9"/>
    <w:rsid w:val="00C4691E"/>
    <w:rsid w:val="00C57BFE"/>
    <w:rsid w:val="00C619A0"/>
    <w:rsid w:val="00C82C8E"/>
    <w:rsid w:val="00C85E83"/>
    <w:rsid w:val="00C958EA"/>
    <w:rsid w:val="00CB7D6E"/>
    <w:rsid w:val="00CE0CEF"/>
    <w:rsid w:val="00CE3EFB"/>
    <w:rsid w:val="00CF3178"/>
    <w:rsid w:val="00D06313"/>
    <w:rsid w:val="00D13378"/>
    <w:rsid w:val="00D20F2F"/>
    <w:rsid w:val="00D2485A"/>
    <w:rsid w:val="00D47E57"/>
    <w:rsid w:val="00D5253A"/>
    <w:rsid w:val="00D53A98"/>
    <w:rsid w:val="00D614C1"/>
    <w:rsid w:val="00D829EB"/>
    <w:rsid w:val="00D831C5"/>
    <w:rsid w:val="00D968A6"/>
    <w:rsid w:val="00D96A89"/>
    <w:rsid w:val="00DA5C86"/>
    <w:rsid w:val="00DB5A47"/>
    <w:rsid w:val="00DC206C"/>
    <w:rsid w:val="00DD2BF3"/>
    <w:rsid w:val="00DE1CB6"/>
    <w:rsid w:val="00E135C1"/>
    <w:rsid w:val="00E3460B"/>
    <w:rsid w:val="00E34FB7"/>
    <w:rsid w:val="00E36542"/>
    <w:rsid w:val="00E43855"/>
    <w:rsid w:val="00E44C69"/>
    <w:rsid w:val="00E50F87"/>
    <w:rsid w:val="00E51F27"/>
    <w:rsid w:val="00E521BA"/>
    <w:rsid w:val="00E60B44"/>
    <w:rsid w:val="00E6679E"/>
    <w:rsid w:val="00E805E7"/>
    <w:rsid w:val="00E851D0"/>
    <w:rsid w:val="00EA1001"/>
    <w:rsid w:val="00EA6BD9"/>
    <w:rsid w:val="00EB417B"/>
    <w:rsid w:val="00EC1C8C"/>
    <w:rsid w:val="00EC1CD0"/>
    <w:rsid w:val="00EC2492"/>
    <w:rsid w:val="00ED6421"/>
    <w:rsid w:val="00EE1A64"/>
    <w:rsid w:val="00EE2DC8"/>
    <w:rsid w:val="00F02BEC"/>
    <w:rsid w:val="00F105BD"/>
    <w:rsid w:val="00F119DB"/>
    <w:rsid w:val="00F15E4C"/>
    <w:rsid w:val="00F221A8"/>
    <w:rsid w:val="00F3393A"/>
    <w:rsid w:val="00F4651C"/>
    <w:rsid w:val="00F4719C"/>
    <w:rsid w:val="00F52DE7"/>
    <w:rsid w:val="00F62244"/>
    <w:rsid w:val="00F75F70"/>
    <w:rsid w:val="00F83003"/>
    <w:rsid w:val="00F874B6"/>
    <w:rsid w:val="00FC2F0B"/>
    <w:rsid w:val="00FD7382"/>
    <w:rsid w:val="00FE25B7"/>
    <w:rsid w:val="00FE64D0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B3D4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3F34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A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A6130"/>
    <w:rPr>
      <w:rFonts w:cs="Times New Roman"/>
    </w:rPr>
  </w:style>
  <w:style w:type="paragraph" w:styleId="a8">
    <w:name w:val="footer"/>
    <w:basedOn w:val="a"/>
    <w:link w:val="a9"/>
    <w:unhideWhenUsed/>
    <w:rsid w:val="004A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4A613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A69B8"/>
    <w:rPr>
      <w:rFonts w:ascii="Tahoma" w:hAnsi="Tahoma" w:cs="Times New Roman"/>
      <w:sz w:val="16"/>
    </w:rPr>
  </w:style>
  <w:style w:type="paragraph" w:styleId="ac">
    <w:name w:val="No Spacing"/>
    <w:uiPriority w:val="1"/>
    <w:qFormat/>
    <w:rsid w:val="00DC206C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A05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41C11"/>
    <w:pPr>
      <w:ind w:left="720"/>
      <w:contextualSpacing/>
    </w:pPr>
  </w:style>
  <w:style w:type="paragraph" w:customStyle="1" w:styleId="1">
    <w:name w:val="Без интервала1"/>
    <w:uiPriority w:val="1"/>
    <w:qFormat/>
    <w:rsid w:val="00236D4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44D7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B3D4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3F34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A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A6130"/>
    <w:rPr>
      <w:rFonts w:cs="Times New Roman"/>
    </w:rPr>
  </w:style>
  <w:style w:type="paragraph" w:styleId="a8">
    <w:name w:val="footer"/>
    <w:basedOn w:val="a"/>
    <w:link w:val="a9"/>
    <w:unhideWhenUsed/>
    <w:rsid w:val="004A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4A613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A69B8"/>
    <w:rPr>
      <w:rFonts w:ascii="Tahoma" w:hAnsi="Tahoma" w:cs="Times New Roman"/>
      <w:sz w:val="16"/>
    </w:rPr>
  </w:style>
  <w:style w:type="paragraph" w:styleId="ac">
    <w:name w:val="No Spacing"/>
    <w:uiPriority w:val="1"/>
    <w:qFormat/>
    <w:rsid w:val="00DC206C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A05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41C11"/>
    <w:pPr>
      <w:ind w:left="720"/>
      <w:contextualSpacing/>
    </w:pPr>
  </w:style>
  <w:style w:type="paragraph" w:customStyle="1" w:styleId="1">
    <w:name w:val="Без интервала1"/>
    <w:uiPriority w:val="1"/>
    <w:qFormat/>
    <w:rsid w:val="00236D4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44D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kaluga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oblkaluga.ru/sub/education/news/detail.php?ID=297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oblkaluga.ru/sub/econom/Gos_prog_razv/doklad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oblkaluga.ru/sub/econom/invest/gosp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oblkaluga.ru/sub/strategic_p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1559</Words>
  <Characters>12162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Мастыкаш Оксана Владимировна</dc:creator>
  <cp:lastModifiedBy>Майорова Юлия Геннадиевна</cp:lastModifiedBy>
  <cp:revision>28</cp:revision>
  <cp:lastPrinted>2019-10-30T05:55:00Z</cp:lastPrinted>
  <dcterms:created xsi:type="dcterms:W3CDTF">2020-07-09T09:13:00Z</dcterms:created>
  <dcterms:modified xsi:type="dcterms:W3CDTF">2021-01-27T12:42:00Z</dcterms:modified>
</cp:coreProperties>
</file>